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BAD2" w14:textId="78B81006" w:rsidR="00F15E47" w:rsidRPr="00C00E07" w:rsidRDefault="00F15E47" w:rsidP="00D86E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740501BA" w14:textId="77777777" w:rsidR="00704AEA" w:rsidRDefault="004508CB" w:rsidP="00C167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Ukončenie výstavby</w:t>
      </w:r>
      <w:r w:rsidR="00DF72F1">
        <w:rPr>
          <w:rFonts w:ascii="Times New Roman" w:hAnsi="Times New Roman" w:cs="Times New Roman"/>
          <w:sz w:val="24"/>
          <w:szCs w:val="24"/>
        </w:rPr>
        <w:t xml:space="preserve"> nového obytného súboru Povrazy, </w:t>
      </w:r>
      <w:r w:rsidR="00EA71B1">
        <w:rPr>
          <w:rFonts w:ascii="Times New Roman" w:hAnsi="Times New Roman" w:cs="Times New Roman"/>
          <w:sz w:val="24"/>
          <w:szCs w:val="24"/>
        </w:rPr>
        <w:t xml:space="preserve">výstavba apartmánov v areáli koliby Zlatá podkova v severnej časti od ulice Jána Pavla II. a </w:t>
      </w:r>
      <w:r w:rsidR="00DF72F1">
        <w:rPr>
          <w:rFonts w:ascii="Times New Roman" w:hAnsi="Times New Roman" w:cs="Times New Roman"/>
          <w:sz w:val="24"/>
          <w:szCs w:val="24"/>
        </w:rPr>
        <w:t>plánova</w:t>
      </w:r>
      <w:r w:rsidR="009D2083">
        <w:rPr>
          <w:rFonts w:ascii="Times New Roman" w:hAnsi="Times New Roman" w:cs="Times New Roman"/>
          <w:sz w:val="24"/>
          <w:szCs w:val="24"/>
        </w:rPr>
        <w:t>ná</w:t>
      </w:r>
      <w:r w:rsidR="00DF72F1">
        <w:rPr>
          <w:rFonts w:ascii="Times New Roman" w:hAnsi="Times New Roman" w:cs="Times New Roman"/>
          <w:sz w:val="24"/>
          <w:szCs w:val="24"/>
        </w:rPr>
        <w:t xml:space="preserve"> výstavb</w:t>
      </w:r>
      <w:r w:rsidR="009D2083">
        <w:rPr>
          <w:rFonts w:ascii="Times New Roman" w:hAnsi="Times New Roman" w:cs="Times New Roman"/>
          <w:sz w:val="24"/>
          <w:szCs w:val="24"/>
        </w:rPr>
        <w:t>a</w:t>
      </w:r>
      <w:r w:rsidR="00DF72F1">
        <w:rPr>
          <w:rFonts w:ascii="Times New Roman" w:hAnsi="Times New Roman" w:cs="Times New Roman"/>
          <w:sz w:val="24"/>
          <w:szCs w:val="24"/>
        </w:rPr>
        <w:t xml:space="preserve"> obytnej zóny </w:t>
      </w:r>
      <w:proofErr w:type="spellStart"/>
      <w:r w:rsidR="00DF72F1">
        <w:rPr>
          <w:rFonts w:ascii="Times New Roman" w:hAnsi="Times New Roman" w:cs="Times New Roman"/>
          <w:sz w:val="24"/>
          <w:szCs w:val="24"/>
        </w:rPr>
        <w:t>Girbeš</w:t>
      </w:r>
      <w:proofErr w:type="spellEnd"/>
      <w:r w:rsidR="009D2083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="009D2083">
        <w:rPr>
          <w:rFonts w:ascii="Times New Roman" w:hAnsi="Times New Roman" w:cs="Times New Roman"/>
          <w:sz w:val="24"/>
          <w:szCs w:val="24"/>
        </w:rPr>
        <w:t>severo</w:t>
      </w:r>
      <w:proofErr w:type="spellEnd"/>
      <w:r w:rsidR="009D2083">
        <w:rPr>
          <w:rFonts w:ascii="Times New Roman" w:hAnsi="Times New Roman" w:cs="Times New Roman"/>
          <w:sz w:val="24"/>
          <w:szCs w:val="24"/>
        </w:rPr>
        <w:t>-západnej časti sídliska ako pokračovanie ulice Jána Pavla II. do mestskej časti Myslava</w:t>
      </w:r>
      <w:r w:rsidR="00DF72F1">
        <w:rPr>
          <w:rFonts w:ascii="Times New Roman" w:hAnsi="Times New Roman" w:cs="Times New Roman"/>
          <w:sz w:val="24"/>
          <w:szCs w:val="24"/>
        </w:rPr>
        <w:t xml:space="preserve"> má </w:t>
      </w:r>
      <w:r w:rsidR="009D2083">
        <w:rPr>
          <w:rFonts w:ascii="Times New Roman" w:hAnsi="Times New Roman" w:cs="Times New Roman"/>
          <w:sz w:val="24"/>
          <w:szCs w:val="24"/>
        </w:rPr>
        <w:t xml:space="preserve">za dôsledok vznik nových </w:t>
      </w:r>
      <w:r>
        <w:rPr>
          <w:rFonts w:ascii="Times New Roman" w:hAnsi="Times New Roman" w:cs="Times New Roman"/>
          <w:sz w:val="24"/>
          <w:szCs w:val="24"/>
        </w:rPr>
        <w:t>ulíc</w:t>
      </w:r>
      <w:r w:rsidR="009D2083">
        <w:rPr>
          <w:rFonts w:ascii="Times New Roman" w:hAnsi="Times New Roman" w:cs="Times New Roman"/>
          <w:sz w:val="24"/>
          <w:szCs w:val="24"/>
        </w:rPr>
        <w:t>.</w:t>
      </w:r>
      <w:r w:rsidR="00206231">
        <w:rPr>
          <w:rFonts w:ascii="Times New Roman" w:hAnsi="Times New Roman" w:cs="Times New Roman"/>
          <w:sz w:val="24"/>
          <w:szCs w:val="24"/>
        </w:rPr>
        <w:t xml:space="preserve"> </w:t>
      </w:r>
      <w:r w:rsidR="00EA71B1">
        <w:rPr>
          <w:rFonts w:ascii="Times New Roman" w:hAnsi="Times New Roman" w:cs="Times New Roman"/>
          <w:sz w:val="24"/>
          <w:szCs w:val="24"/>
        </w:rPr>
        <w:t>V zmysle zákona o obecnom zriadení je potrebné pomenovať každú</w:t>
      </w:r>
      <w:r>
        <w:rPr>
          <w:rFonts w:ascii="Times New Roman" w:hAnsi="Times New Roman" w:cs="Times New Roman"/>
          <w:sz w:val="24"/>
          <w:szCs w:val="24"/>
        </w:rPr>
        <w:t xml:space="preserve"> novú</w:t>
      </w:r>
      <w:r w:rsidR="00EA7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ulicu. </w:t>
      </w:r>
      <w:r w:rsidR="00EA0F5E">
        <w:rPr>
          <w:rFonts w:ascii="Times New Roman" w:hAnsi="Times New Roman" w:cs="Times New Roman"/>
          <w:sz w:val="24"/>
          <w:szCs w:val="24"/>
        </w:rPr>
        <w:t xml:space="preserve">Podľa vyhlášky číslo 31/2003 Z. z. </w:t>
      </w:r>
      <w:r w:rsidR="00775340">
        <w:rPr>
          <w:rFonts w:ascii="Times New Roman" w:hAnsi="Times New Roman" w:cs="Times New Roman"/>
          <w:sz w:val="24"/>
          <w:szCs w:val="24"/>
        </w:rPr>
        <w:t>p</w:t>
      </w:r>
      <w:r w:rsidR="00EA0F5E" w:rsidRPr="00EA0F5E">
        <w:rPr>
          <w:rFonts w:ascii="Times New Roman" w:hAnsi="Times New Roman" w:cs="Times New Roman"/>
          <w:sz w:val="24"/>
          <w:szCs w:val="24"/>
        </w:rPr>
        <w:t xml:space="preserve">ri lineárnej zástavbe </w:t>
      </w:r>
      <w:r w:rsidR="000265E6">
        <w:rPr>
          <w:rFonts w:ascii="Times New Roman" w:hAnsi="Times New Roman" w:cs="Times New Roman"/>
          <w:sz w:val="24"/>
          <w:szCs w:val="24"/>
        </w:rPr>
        <w:t>sa</w:t>
      </w:r>
      <w:r w:rsidR="00EA0F5E" w:rsidRPr="00EA0F5E">
        <w:rPr>
          <w:rFonts w:ascii="Times New Roman" w:hAnsi="Times New Roman" w:cs="Times New Roman"/>
          <w:sz w:val="24"/>
          <w:szCs w:val="24"/>
        </w:rPr>
        <w:t xml:space="preserve"> budovy v smere od stredu obce na ľavej strane ulice</w:t>
      </w:r>
      <w:r w:rsidR="000265E6">
        <w:rPr>
          <w:rFonts w:ascii="Times New Roman" w:hAnsi="Times New Roman" w:cs="Times New Roman"/>
          <w:sz w:val="24"/>
          <w:szCs w:val="24"/>
        </w:rPr>
        <w:t xml:space="preserve"> označujú</w:t>
      </w:r>
      <w:r w:rsidR="00EA0F5E" w:rsidRPr="00EA0F5E">
        <w:rPr>
          <w:rFonts w:ascii="Times New Roman" w:hAnsi="Times New Roman" w:cs="Times New Roman"/>
          <w:sz w:val="24"/>
          <w:szCs w:val="24"/>
        </w:rPr>
        <w:t xml:space="preserve"> nepárn</w:t>
      </w:r>
      <w:r w:rsidR="000265E6">
        <w:rPr>
          <w:rFonts w:ascii="Times New Roman" w:hAnsi="Times New Roman" w:cs="Times New Roman"/>
          <w:sz w:val="24"/>
          <w:szCs w:val="24"/>
        </w:rPr>
        <w:t>ymi</w:t>
      </w:r>
      <w:r w:rsidR="00EA0F5E" w:rsidRPr="00EA0F5E">
        <w:rPr>
          <w:rFonts w:ascii="Times New Roman" w:hAnsi="Times New Roman" w:cs="Times New Roman"/>
          <w:sz w:val="24"/>
          <w:szCs w:val="24"/>
        </w:rPr>
        <w:t xml:space="preserve"> čísla</w:t>
      </w:r>
      <w:r w:rsidR="000265E6">
        <w:rPr>
          <w:rFonts w:ascii="Times New Roman" w:hAnsi="Times New Roman" w:cs="Times New Roman"/>
          <w:sz w:val="24"/>
          <w:szCs w:val="24"/>
        </w:rPr>
        <w:t>mi</w:t>
      </w:r>
      <w:r w:rsidR="00EA0F5E" w:rsidRPr="00EA0F5E">
        <w:rPr>
          <w:rFonts w:ascii="Times New Roman" w:hAnsi="Times New Roman" w:cs="Times New Roman"/>
          <w:sz w:val="24"/>
          <w:szCs w:val="24"/>
        </w:rPr>
        <w:t xml:space="preserve"> a na pravej strane ulice párn</w:t>
      </w:r>
      <w:r w:rsidR="000265E6">
        <w:rPr>
          <w:rFonts w:ascii="Times New Roman" w:hAnsi="Times New Roman" w:cs="Times New Roman"/>
          <w:sz w:val="24"/>
          <w:szCs w:val="24"/>
        </w:rPr>
        <w:t>ymi</w:t>
      </w:r>
      <w:r w:rsidR="00EA0F5E" w:rsidRPr="00EA0F5E">
        <w:rPr>
          <w:rFonts w:ascii="Times New Roman" w:hAnsi="Times New Roman" w:cs="Times New Roman"/>
          <w:sz w:val="24"/>
          <w:szCs w:val="24"/>
        </w:rPr>
        <w:t xml:space="preserve"> čísla</w:t>
      </w:r>
      <w:r w:rsidR="000265E6">
        <w:rPr>
          <w:rFonts w:ascii="Times New Roman" w:hAnsi="Times New Roman" w:cs="Times New Roman"/>
          <w:sz w:val="24"/>
          <w:szCs w:val="24"/>
        </w:rPr>
        <w:t>mi</w:t>
      </w:r>
      <w:r w:rsidR="00EA0F5E" w:rsidRPr="00EA0F5E">
        <w:rPr>
          <w:rFonts w:ascii="Times New Roman" w:hAnsi="Times New Roman" w:cs="Times New Roman"/>
          <w:sz w:val="24"/>
          <w:szCs w:val="24"/>
        </w:rPr>
        <w:t xml:space="preserve"> číselného radu orientačných čísiel</w:t>
      </w:r>
      <w:r w:rsidR="0077534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D3DE2D" w14:textId="7E620026" w:rsidR="00C16734" w:rsidRDefault="00704AEA" w:rsidP="00C167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Označenie nových ulíc, kolmých na ul. Jána Pavla II. môže byť riešené buď zachovaním názvu „ul. Jána Pavla II.“, alebo určením nových názvov. </w:t>
      </w:r>
      <w:r w:rsidR="000265E6">
        <w:rPr>
          <w:rFonts w:ascii="Times New Roman" w:hAnsi="Times New Roman" w:cs="Times New Roman"/>
          <w:sz w:val="24"/>
          <w:szCs w:val="24"/>
        </w:rPr>
        <w:t xml:space="preserve">Pri zachovaní názvu všetkých nových ulíc názvom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0265E6">
        <w:rPr>
          <w:rFonts w:ascii="Times New Roman" w:hAnsi="Times New Roman" w:cs="Times New Roman"/>
          <w:sz w:val="24"/>
          <w:szCs w:val="24"/>
        </w:rPr>
        <w:t>ul. Jána Pavla II.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265E6">
        <w:rPr>
          <w:rFonts w:ascii="Times New Roman" w:hAnsi="Times New Roman" w:cs="Times New Roman"/>
          <w:sz w:val="24"/>
          <w:szCs w:val="24"/>
        </w:rPr>
        <w:t xml:space="preserve"> by všetky budovy dostali pridelené iba párne čísla. Keďže obytný súbor „Povrazy“ je postavený medzi predajňou Lidl, </w:t>
      </w:r>
      <w:r w:rsidR="00AD5D9C">
        <w:rPr>
          <w:rFonts w:ascii="Times New Roman" w:hAnsi="Times New Roman" w:cs="Times New Roman"/>
          <w:sz w:val="24"/>
          <w:szCs w:val="24"/>
        </w:rPr>
        <w:t>p</w:t>
      </w:r>
      <w:r w:rsidR="000265E6">
        <w:rPr>
          <w:rFonts w:ascii="Times New Roman" w:hAnsi="Times New Roman" w:cs="Times New Roman"/>
          <w:sz w:val="24"/>
          <w:szCs w:val="24"/>
        </w:rPr>
        <w:t xml:space="preserve">oliklinikou </w:t>
      </w:r>
      <w:proofErr w:type="spellStart"/>
      <w:r w:rsidR="000265E6">
        <w:rPr>
          <w:rFonts w:ascii="Times New Roman" w:hAnsi="Times New Roman" w:cs="Times New Roman"/>
          <w:sz w:val="24"/>
          <w:szCs w:val="24"/>
        </w:rPr>
        <w:t>Pro</w:t>
      </w:r>
      <w:r w:rsidR="00AD5D9C">
        <w:rPr>
          <w:rFonts w:ascii="Times New Roman" w:hAnsi="Times New Roman" w:cs="Times New Roman"/>
          <w:sz w:val="24"/>
          <w:szCs w:val="24"/>
        </w:rPr>
        <w:t>C</w:t>
      </w:r>
      <w:r w:rsidR="000265E6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0265E6">
        <w:rPr>
          <w:rFonts w:ascii="Times New Roman" w:hAnsi="Times New Roman" w:cs="Times New Roman"/>
          <w:sz w:val="24"/>
          <w:szCs w:val="24"/>
        </w:rPr>
        <w:t xml:space="preserve"> a kláštorom, ktoré už svoje </w:t>
      </w:r>
      <w:r>
        <w:rPr>
          <w:rFonts w:ascii="Times New Roman" w:hAnsi="Times New Roman" w:cs="Times New Roman"/>
          <w:sz w:val="24"/>
          <w:szCs w:val="24"/>
        </w:rPr>
        <w:t>orientačné</w:t>
      </w:r>
      <w:r w:rsidR="000265E6">
        <w:rPr>
          <w:rFonts w:ascii="Times New Roman" w:hAnsi="Times New Roman" w:cs="Times New Roman"/>
          <w:sz w:val="24"/>
          <w:szCs w:val="24"/>
        </w:rPr>
        <w:t xml:space="preserve"> čísla majú pridelené, pokračovanie číslovania obytných domov „Povrazy“ by mohlo spôsobiť problémy pri orientácii. </w:t>
      </w:r>
    </w:p>
    <w:p w14:paraId="60A797E8" w14:textId="4DBEAD45" w:rsidR="00AD5D9C" w:rsidRDefault="00704AEA" w:rsidP="003479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vyššie uvedeného </w:t>
      </w:r>
      <w:r w:rsidR="00AD5D9C">
        <w:rPr>
          <w:rFonts w:ascii="Times New Roman" w:hAnsi="Times New Roman" w:cs="Times New Roman"/>
          <w:sz w:val="24"/>
          <w:szCs w:val="24"/>
        </w:rPr>
        <w:t>Mestská časť Košice-Sídlisko KVP navrhuje prideliť novým uliciam nové názvy nasledovne:</w:t>
      </w:r>
    </w:p>
    <w:p w14:paraId="005B4A4D" w14:textId="26D6E4B2" w:rsidR="00347939" w:rsidRDefault="00AD5D9C" w:rsidP="00AD5D9C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5D9C">
        <w:rPr>
          <w:rFonts w:ascii="Times New Roman" w:hAnsi="Times New Roman" w:cs="Times New Roman"/>
          <w:b/>
          <w:bCs/>
          <w:sz w:val="24"/>
          <w:szCs w:val="24"/>
        </w:rPr>
        <w:t>Lechkého ulica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bookmarkStart w:id="0" w:name="_Hlk121477537"/>
      <w:r>
        <w:rPr>
          <w:rFonts w:ascii="Times New Roman" w:hAnsi="Times New Roman" w:cs="Times New Roman"/>
          <w:sz w:val="24"/>
          <w:szCs w:val="24"/>
        </w:rPr>
        <w:t>s</w:t>
      </w:r>
      <w:r w:rsidR="00347939" w:rsidRPr="00AD5D9C">
        <w:rPr>
          <w:rFonts w:ascii="Times New Roman" w:hAnsi="Times New Roman" w:cs="Times New Roman"/>
          <w:sz w:val="24"/>
          <w:szCs w:val="24"/>
        </w:rPr>
        <w:t>prístupňuje</w:t>
      </w:r>
      <w:r w:rsidR="00EA71B1" w:rsidRPr="00AD5D9C">
        <w:rPr>
          <w:rFonts w:ascii="Times New Roman" w:hAnsi="Times New Roman" w:cs="Times New Roman"/>
          <w:sz w:val="24"/>
          <w:szCs w:val="24"/>
        </w:rPr>
        <w:t xml:space="preserve"> zo </w:t>
      </w:r>
      <w:proofErr w:type="spellStart"/>
      <w:r w:rsidR="00EA71B1" w:rsidRPr="00AD5D9C">
        <w:rPr>
          <w:rFonts w:ascii="Times New Roman" w:hAnsi="Times New Roman" w:cs="Times New Roman"/>
          <w:sz w:val="24"/>
          <w:szCs w:val="24"/>
        </w:rPr>
        <w:t>severo</w:t>
      </w:r>
      <w:proofErr w:type="spellEnd"/>
      <w:r w:rsidR="00EA71B1" w:rsidRPr="00AD5D9C">
        <w:rPr>
          <w:rFonts w:ascii="Times New Roman" w:hAnsi="Times New Roman" w:cs="Times New Roman"/>
          <w:sz w:val="24"/>
          <w:szCs w:val="24"/>
        </w:rPr>
        <w:t>-východnej časti ulice Jána Pavla II.</w:t>
      </w:r>
      <w:r w:rsidR="00347939" w:rsidRPr="00AD5D9C">
        <w:rPr>
          <w:rFonts w:ascii="Times New Roman" w:hAnsi="Times New Roman" w:cs="Times New Roman"/>
          <w:sz w:val="24"/>
          <w:szCs w:val="24"/>
        </w:rPr>
        <w:t xml:space="preserve"> obchodný dom Lidl, polikliniku </w:t>
      </w:r>
      <w:proofErr w:type="spellStart"/>
      <w:r w:rsidR="00347939" w:rsidRPr="00AD5D9C">
        <w:rPr>
          <w:rFonts w:ascii="Times New Roman" w:hAnsi="Times New Roman" w:cs="Times New Roman"/>
          <w:sz w:val="24"/>
          <w:szCs w:val="24"/>
        </w:rPr>
        <w:t>ProCare</w:t>
      </w:r>
      <w:proofErr w:type="spellEnd"/>
      <w:r w:rsidR="00347939" w:rsidRPr="00AD5D9C">
        <w:rPr>
          <w:rFonts w:ascii="Times New Roman" w:hAnsi="Times New Roman" w:cs="Times New Roman"/>
          <w:sz w:val="24"/>
          <w:szCs w:val="24"/>
        </w:rPr>
        <w:t xml:space="preserve"> a Základnú školu Mateja Lechkého. Z historického hľadiska sa táto ulica volala Lechkého ulica no v roku 2010 sa premenovala na ulicu Jána Pavla II. Preto navrhujeme, aby sa táto ulica</w:t>
      </w:r>
      <w:r w:rsidR="00C31EAF" w:rsidRPr="00AD5D9C">
        <w:rPr>
          <w:rFonts w:ascii="Times New Roman" w:hAnsi="Times New Roman" w:cs="Times New Roman"/>
          <w:sz w:val="24"/>
          <w:szCs w:val="24"/>
        </w:rPr>
        <w:t xml:space="preserve"> premenovala a volala opäť Lechkého ulica</w:t>
      </w:r>
      <w:bookmarkEnd w:id="0"/>
      <w:r w:rsidR="00C31EAF" w:rsidRPr="00AD5D9C">
        <w:rPr>
          <w:rFonts w:ascii="Times New Roman" w:hAnsi="Times New Roman" w:cs="Times New Roman"/>
          <w:sz w:val="24"/>
          <w:szCs w:val="24"/>
        </w:rPr>
        <w:t>.</w:t>
      </w:r>
    </w:p>
    <w:p w14:paraId="1E94C0C8" w14:textId="0EE40551" w:rsidR="00C31EAF" w:rsidRDefault="00AD5D9C" w:rsidP="00BC7963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9C">
        <w:rPr>
          <w:rFonts w:ascii="Times New Roman" w:hAnsi="Times New Roman" w:cs="Times New Roman"/>
          <w:b/>
          <w:bCs/>
          <w:sz w:val="24"/>
          <w:szCs w:val="24"/>
        </w:rPr>
        <w:t>Cikkerova</w:t>
      </w:r>
      <w:proofErr w:type="spellEnd"/>
      <w:r w:rsidRPr="00AD5D9C">
        <w:rPr>
          <w:rFonts w:ascii="Times New Roman" w:hAnsi="Times New Roman" w:cs="Times New Roman"/>
          <w:b/>
          <w:bCs/>
          <w:sz w:val="24"/>
          <w:szCs w:val="24"/>
        </w:rPr>
        <w:t xml:space="preserve"> ulica </w:t>
      </w:r>
      <w:r w:rsidRPr="00AD5D9C"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Hlk121477581"/>
      <w:r>
        <w:rPr>
          <w:rFonts w:ascii="Times New Roman" w:hAnsi="Times New Roman" w:cs="Times New Roman"/>
          <w:sz w:val="24"/>
          <w:szCs w:val="24"/>
        </w:rPr>
        <w:t>s</w:t>
      </w:r>
      <w:r w:rsidR="00C31EAF" w:rsidRPr="00AD5D9C">
        <w:rPr>
          <w:rFonts w:ascii="Times New Roman" w:hAnsi="Times New Roman" w:cs="Times New Roman"/>
          <w:sz w:val="24"/>
          <w:szCs w:val="24"/>
        </w:rPr>
        <w:t>prístupňuje zo severnej strany nový obytný súbor Povrazy</w:t>
      </w:r>
      <w:r w:rsidR="00935CFA" w:rsidRPr="00AD5D9C">
        <w:rPr>
          <w:rFonts w:ascii="Times New Roman" w:hAnsi="Times New Roman" w:cs="Times New Roman"/>
          <w:sz w:val="24"/>
          <w:szCs w:val="24"/>
        </w:rPr>
        <w:t>, ktorý obsahuje 7 bytových domov s približne 118 bytmi.</w:t>
      </w:r>
      <w:bookmarkEnd w:id="1"/>
      <w:r w:rsidR="00935CFA" w:rsidRPr="00AD5D9C">
        <w:rPr>
          <w:rFonts w:ascii="Times New Roman" w:hAnsi="Times New Roman" w:cs="Times New Roman"/>
          <w:sz w:val="24"/>
          <w:szCs w:val="24"/>
        </w:rPr>
        <w:t xml:space="preserve"> Táto komunikácia je vybudovaná na novo a preto jej historický názov neprislúcha.</w:t>
      </w:r>
    </w:p>
    <w:p w14:paraId="13201AAA" w14:textId="44DCFD83" w:rsidR="00935CFA" w:rsidRPr="00AD5D9C" w:rsidRDefault="00AD5D9C" w:rsidP="007B47BA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9C">
        <w:rPr>
          <w:rFonts w:ascii="Times New Roman" w:hAnsi="Times New Roman" w:cs="Times New Roman"/>
          <w:b/>
          <w:bCs/>
          <w:sz w:val="24"/>
          <w:szCs w:val="24"/>
        </w:rPr>
        <w:t>Szabadosova</w:t>
      </w:r>
      <w:proofErr w:type="spellEnd"/>
      <w:r w:rsidRPr="00AD5D9C">
        <w:rPr>
          <w:rFonts w:ascii="Times New Roman" w:hAnsi="Times New Roman" w:cs="Times New Roman"/>
          <w:b/>
          <w:bCs/>
          <w:sz w:val="24"/>
          <w:szCs w:val="24"/>
        </w:rPr>
        <w:t xml:space="preserve"> ulica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bookmarkStart w:id="2" w:name="_Hlk121477599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935CFA" w:rsidRPr="00AD5D9C">
        <w:rPr>
          <w:rFonts w:ascii="Times New Roman" w:hAnsi="Times New Roman" w:cs="Times New Roman"/>
          <w:sz w:val="24"/>
          <w:szCs w:val="24"/>
        </w:rPr>
        <w:t>prístupňuje apartmánovú výstavbu domov a reštauráciu s ubytovaním v rámci areálu koliby Zlatá podkova.</w:t>
      </w:r>
      <w:bookmarkEnd w:id="2"/>
      <w:r w:rsidR="00935CFA" w:rsidRPr="00AD5D9C">
        <w:rPr>
          <w:rFonts w:ascii="Times New Roman" w:hAnsi="Times New Roman" w:cs="Times New Roman"/>
          <w:sz w:val="24"/>
          <w:szCs w:val="24"/>
        </w:rPr>
        <w:t xml:space="preserve"> </w:t>
      </w:r>
      <w:r w:rsidR="009B2CBA" w:rsidRPr="00AD5D9C">
        <w:rPr>
          <w:rFonts w:ascii="Times New Roman" w:hAnsi="Times New Roman" w:cs="Times New Roman"/>
          <w:sz w:val="24"/>
          <w:szCs w:val="24"/>
        </w:rPr>
        <w:t>V areáli koliby Zlatá podkova vzniká výstavby 6 apartmánových domov popri existujúcich 3 obytných chatkách. Táto komunikácia bola v minulosti vybudovaná ale názov ulice jej nebol priradený.</w:t>
      </w:r>
    </w:p>
    <w:p w14:paraId="0CC3243A" w14:textId="29BD1CB7" w:rsidR="009B2CBA" w:rsidRDefault="00775340" w:rsidP="00AD5D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B2CBA">
        <w:rPr>
          <w:rFonts w:ascii="Times New Roman" w:hAnsi="Times New Roman" w:cs="Times New Roman"/>
          <w:sz w:val="24"/>
          <w:szCs w:val="24"/>
        </w:rPr>
        <w:t xml:space="preserve">Názvy </w:t>
      </w:r>
      <w:r w:rsidR="00AD5D9C">
        <w:rPr>
          <w:rFonts w:ascii="Times New Roman" w:hAnsi="Times New Roman" w:cs="Times New Roman"/>
          <w:sz w:val="24"/>
          <w:szCs w:val="24"/>
        </w:rPr>
        <w:t>nových ulíc</w:t>
      </w:r>
      <w:r w:rsidR="009B2CBA">
        <w:rPr>
          <w:rFonts w:ascii="Times New Roman" w:hAnsi="Times New Roman" w:cs="Times New Roman"/>
          <w:sz w:val="24"/>
          <w:szCs w:val="24"/>
        </w:rPr>
        <w:t xml:space="preserve"> by podľa zvyklosti a zachovania spôsobu určovania názvu ulíc v predmetnej lokalite, mali byť odvodené od mien slávnych hudobníkov, skladateľov, pedagógov hudby, dirigentov</w:t>
      </w:r>
      <w:r w:rsidR="0025027C">
        <w:rPr>
          <w:rFonts w:ascii="Times New Roman" w:hAnsi="Times New Roman" w:cs="Times New Roman"/>
          <w:sz w:val="24"/>
          <w:szCs w:val="24"/>
        </w:rPr>
        <w:t xml:space="preserve"> a podobne. </w:t>
      </w:r>
    </w:p>
    <w:p w14:paraId="335084B4" w14:textId="0B9B88BA" w:rsidR="008D2AB3" w:rsidRPr="00E85FF4" w:rsidRDefault="008D2AB3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Potreba vzniku nových ulíc je okrem zákonného ustanovenia nutná aj kvôli novým obyvateľom sídliska KVP, nakoľko do doby, kým nebude určený uličný systém v danej lokalite, nemôžu byť bytovým domom </w:t>
      </w:r>
      <w:r w:rsidR="00AD5D9C">
        <w:rPr>
          <w:rFonts w:ascii="Times New Roman" w:hAnsi="Times New Roman" w:cs="Times New Roman"/>
          <w:sz w:val="24"/>
          <w:szCs w:val="24"/>
        </w:rPr>
        <w:t>obytného súboru „Povrazy“</w:t>
      </w:r>
      <w:r>
        <w:rPr>
          <w:rFonts w:ascii="Times New Roman" w:hAnsi="Times New Roman" w:cs="Times New Roman"/>
          <w:sz w:val="24"/>
          <w:szCs w:val="24"/>
        </w:rPr>
        <w:t xml:space="preserve"> určené orientačné čísla. </w:t>
      </w:r>
    </w:p>
    <w:p w14:paraId="635DC881" w14:textId="6695CF1E" w:rsidR="00AD5D9C" w:rsidRDefault="00372DC3" w:rsidP="00DF09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redkladáme </w:t>
      </w:r>
      <w:r w:rsidR="00310FA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E85FF4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iestnemu zastupiteľstvu 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4C1A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návrh </w:t>
      </w:r>
      <w:r w:rsidR="009B2CBA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AB58C8">
        <w:rPr>
          <w:rFonts w:ascii="Times New Roman" w:hAnsi="Times New Roman" w:cs="Times New Roman"/>
          <w:b/>
          <w:bCs/>
          <w:sz w:val="24"/>
          <w:szCs w:val="24"/>
        </w:rPr>
        <w:t>schválenie</w:t>
      </w:r>
      <w:r w:rsidR="000865D2">
        <w:rPr>
          <w:rFonts w:ascii="Times New Roman" w:hAnsi="Times New Roman" w:cs="Times New Roman"/>
          <w:b/>
          <w:bCs/>
          <w:sz w:val="24"/>
          <w:szCs w:val="24"/>
        </w:rPr>
        <w:t xml:space="preserve"> názvu</w:t>
      </w:r>
      <w:r w:rsidR="008D2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2CBA">
        <w:rPr>
          <w:rFonts w:ascii="Times New Roman" w:hAnsi="Times New Roman" w:cs="Times New Roman"/>
          <w:b/>
          <w:bCs/>
          <w:sz w:val="24"/>
          <w:szCs w:val="24"/>
        </w:rPr>
        <w:t>pre 3 ulice vedené zo severnej strany ulice Jána Pavla</w:t>
      </w:r>
      <w:r w:rsidR="000865D2">
        <w:rPr>
          <w:rFonts w:ascii="Times New Roman" w:hAnsi="Times New Roman" w:cs="Times New Roman"/>
          <w:b/>
          <w:bCs/>
          <w:sz w:val="24"/>
          <w:szCs w:val="24"/>
        </w:rPr>
        <w:t xml:space="preserve"> II.</w:t>
      </w:r>
      <w:r w:rsidR="0025027C">
        <w:rPr>
          <w:rFonts w:ascii="Times New Roman" w:hAnsi="Times New Roman" w:cs="Times New Roman"/>
          <w:b/>
          <w:bCs/>
          <w:sz w:val="24"/>
          <w:szCs w:val="24"/>
        </w:rPr>
        <w:t>, s názvom prvej ulice „Lechkého ulica“</w:t>
      </w:r>
      <w:r w:rsidR="000865D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5027C">
        <w:rPr>
          <w:rFonts w:ascii="Times New Roman" w:hAnsi="Times New Roman" w:cs="Times New Roman"/>
          <w:b/>
          <w:bCs/>
          <w:sz w:val="24"/>
          <w:szCs w:val="24"/>
        </w:rPr>
        <w:t xml:space="preserve"> druhej</w:t>
      </w:r>
      <w:r w:rsidR="000865D2">
        <w:rPr>
          <w:rFonts w:ascii="Times New Roman" w:hAnsi="Times New Roman" w:cs="Times New Roman"/>
          <w:b/>
          <w:bCs/>
          <w:sz w:val="24"/>
          <w:szCs w:val="24"/>
        </w:rPr>
        <w:t xml:space="preserve"> ulice „</w:t>
      </w:r>
      <w:proofErr w:type="spellStart"/>
      <w:r w:rsidR="000865D2" w:rsidRPr="00AD5D9C">
        <w:rPr>
          <w:rFonts w:ascii="Times New Roman" w:hAnsi="Times New Roman" w:cs="Times New Roman"/>
          <w:b/>
          <w:bCs/>
          <w:sz w:val="24"/>
          <w:szCs w:val="24"/>
        </w:rPr>
        <w:t>Cikkerova</w:t>
      </w:r>
      <w:proofErr w:type="spellEnd"/>
      <w:r w:rsidR="000865D2" w:rsidRPr="00AD5D9C">
        <w:rPr>
          <w:rFonts w:ascii="Times New Roman" w:hAnsi="Times New Roman" w:cs="Times New Roman"/>
          <w:b/>
          <w:bCs/>
          <w:sz w:val="24"/>
          <w:szCs w:val="24"/>
        </w:rPr>
        <w:t xml:space="preserve"> ulica</w:t>
      </w:r>
      <w:r w:rsidR="000865D2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25027C">
        <w:rPr>
          <w:rFonts w:ascii="Times New Roman" w:hAnsi="Times New Roman" w:cs="Times New Roman"/>
          <w:b/>
          <w:bCs/>
          <w:sz w:val="24"/>
          <w:szCs w:val="24"/>
        </w:rPr>
        <w:t xml:space="preserve"> a tretej ulice</w:t>
      </w:r>
      <w:r w:rsidR="000865D2" w:rsidRPr="000865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65D2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0865D2" w:rsidRPr="00AD5D9C">
        <w:rPr>
          <w:rFonts w:ascii="Times New Roman" w:hAnsi="Times New Roman" w:cs="Times New Roman"/>
          <w:b/>
          <w:bCs/>
          <w:sz w:val="24"/>
          <w:szCs w:val="24"/>
        </w:rPr>
        <w:t>Szabadosova</w:t>
      </w:r>
      <w:proofErr w:type="spellEnd"/>
      <w:r w:rsidR="000865D2" w:rsidRPr="00AD5D9C">
        <w:rPr>
          <w:rFonts w:ascii="Times New Roman" w:hAnsi="Times New Roman" w:cs="Times New Roman"/>
          <w:b/>
          <w:bCs/>
          <w:sz w:val="24"/>
          <w:szCs w:val="24"/>
        </w:rPr>
        <w:t xml:space="preserve"> ulica</w:t>
      </w:r>
      <w:r w:rsidR="000865D2">
        <w:rPr>
          <w:rFonts w:ascii="Times New Roman" w:hAnsi="Times New Roman" w:cs="Times New Roman"/>
          <w:b/>
          <w:bCs/>
          <w:sz w:val="24"/>
          <w:szCs w:val="24"/>
        </w:rPr>
        <w:t>“.</w:t>
      </w:r>
    </w:p>
    <w:p w14:paraId="5EAEB074" w14:textId="77777777" w:rsidR="00D20B2E" w:rsidRDefault="00D20B2E" w:rsidP="00D20B2E">
      <w:pPr>
        <w:spacing w:after="0"/>
        <w:jc w:val="both"/>
        <w:rPr>
          <w:rFonts w:ascii="Times New Roman" w:hAnsi="Times New Roman" w:cs="Times New Roman"/>
        </w:rPr>
      </w:pPr>
    </w:p>
    <w:p w14:paraId="313F0774" w14:textId="7B1E9107" w:rsidR="00AB58C8" w:rsidRPr="00D20B2E" w:rsidRDefault="00AD5D9C" w:rsidP="00D20B2E">
      <w:pPr>
        <w:spacing w:after="0"/>
        <w:jc w:val="both"/>
        <w:rPr>
          <w:rFonts w:ascii="Times New Roman" w:hAnsi="Times New Roman" w:cs="Times New Roman"/>
        </w:rPr>
      </w:pPr>
      <w:r w:rsidRPr="00D20B2E">
        <w:rPr>
          <w:rFonts w:ascii="Times New Roman" w:hAnsi="Times New Roman" w:cs="Times New Roman"/>
        </w:rPr>
        <w:t>Spracoval</w:t>
      </w:r>
      <w:r w:rsidR="00D20B2E" w:rsidRPr="00D20B2E">
        <w:rPr>
          <w:rFonts w:ascii="Times New Roman" w:hAnsi="Times New Roman" w:cs="Times New Roman"/>
        </w:rPr>
        <w:t>i</w:t>
      </w:r>
      <w:r w:rsidRPr="00D20B2E">
        <w:rPr>
          <w:rFonts w:ascii="Times New Roman" w:hAnsi="Times New Roman" w:cs="Times New Roman"/>
        </w:rPr>
        <w:t xml:space="preserve">: </w:t>
      </w:r>
    </w:p>
    <w:p w14:paraId="508A3A7E" w14:textId="59106F97" w:rsidR="00D20B2E" w:rsidRPr="00D20B2E" w:rsidRDefault="00D20B2E" w:rsidP="00D20B2E">
      <w:pPr>
        <w:spacing w:after="0"/>
        <w:jc w:val="both"/>
        <w:rPr>
          <w:rFonts w:ascii="Times New Roman" w:hAnsi="Times New Roman" w:cs="Times New Roman"/>
        </w:rPr>
      </w:pPr>
      <w:r w:rsidRPr="00D20B2E">
        <w:rPr>
          <w:rFonts w:ascii="Times New Roman" w:hAnsi="Times New Roman" w:cs="Times New Roman"/>
        </w:rPr>
        <w:t>Ing. Jaromil Čop</w:t>
      </w:r>
    </w:p>
    <w:p w14:paraId="3B040EDE" w14:textId="18989955" w:rsidR="00AD5D9C" w:rsidRPr="00D20B2E" w:rsidRDefault="00AD5D9C" w:rsidP="00D20B2E">
      <w:pPr>
        <w:spacing w:after="0"/>
        <w:jc w:val="both"/>
        <w:rPr>
          <w:rFonts w:ascii="Times New Roman" w:hAnsi="Times New Roman" w:cs="Times New Roman"/>
        </w:rPr>
      </w:pPr>
      <w:r w:rsidRPr="00D20B2E">
        <w:rPr>
          <w:rFonts w:ascii="Times New Roman" w:hAnsi="Times New Roman" w:cs="Times New Roman"/>
        </w:rPr>
        <w:t>Ing. Monika Šalatová</w:t>
      </w:r>
    </w:p>
    <w:p w14:paraId="13EEBF57" w14:textId="7ADADAC2" w:rsidR="008530A9" w:rsidRPr="00D20B2E" w:rsidRDefault="006E033D" w:rsidP="00D86EEE">
      <w:pPr>
        <w:spacing w:after="0"/>
        <w:jc w:val="both"/>
        <w:rPr>
          <w:rFonts w:ascii="Times New Roman" w:hAnsi="Times New Roman" w:cs="Times New Roman"/>
        </w:rPr>
      </w:pPr>
      <w:r w:rsidRPr="00D20B2E">
        <w:rPr>
          <w:rFonts w:ascii="Times New Roman" w:hAnsi="Times New Roman" w:cs="Times New Roman"/>
        </w:rPr>
        <w:t>o</w:t>
      </w:r>
      <w:r w:rsidR="00AB58C8" w:rsidRPr="00D20B2E">
        <w:rPr>
          <w:rFonts w:ascii="Times New Roman" w:hAnsi="Times New Roman" w:cs="Times New Roman"/>
        </w:rPr>
        <w:t>ddelenie výstavby a majetku</w:t>
      </w:r>
    </w:p>
    <w:sectPr w:rsidR="008530A9" w:rsidRPr="00D20B2E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C7BD2"/>
    <w:multiLevelType w:val="hybridMultilevel"/>
    <w:tmpl w:val="6210826E"/>
    <w:lvl w:ilvl="0" w:tplc="164A5A0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331525"/>
    <w:multiLevelType w:val="hybridMultilevel"/>
    <w:tmpl w:val="95D48EAE"/>
    <w:lvl w:ilvl="0" w:tplc="40EAA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81E97"/>
    <w:multiLevelType w:val="hybridMultilevel"/>
    <w:tmpl w:val="C2ACE1FC"/>
    <w:lvl w:ilvl="0" w:tplc="55F4E7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1486051497">
    <w:abstractNumId w:val="1"/>
  </w:num>
  <w:num w:numId="2" w16cid:durableId="389616360">
    <w:abstractNumId w:val="4"/>
  </w:num>
  <w:num w:numId="3" w16cid:durableId="1866359254">
    <w:abstractNumId w:val="2"/>
  </w:num>
  <w:num w:numId="4" w16cid:durableId="77599064">
    <w:abstractNumId w:val="0"/>
  </w:num>
  <w:num w:numId="5" w16cid:durableId="1417704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265E6"/>
    <w:rsid w:val="000411FB"/>
    <w:rsid w:val="000865D2"/>
    <w:rsid w:val="000C78ED"/>
    <w:rsid w:val="001151AE"/>
    <w:rsid w:val="00183470"/>
    <w:rsid w:val="001B2F26"/>
    <w:rsid w:val="001C715A"/>
    <w:rsid w:val="00206231"/>
    <w:rsid w:val="00240EDE"/>
    <w:rsid w:val="0025027C"/>
    <w:rsid w:val="0027736D"/>
    <w:rsid w:val="00310FAD"/>
    <w:rsid w:val="00347939"/>
    <w:rsid w:val="00372DC3"/>
    <w:rsid w:val="004508CB"/>
    <w:rsid w:val="00456018"/>
    <w:rsid w:val="00521C9A"/>
    <w:rsid w:val="00692E7B"/>
    <w:rsid w:val="006E033D"/>
    <w:rsid w:val="00704AEA"/>
    <w:rsid w:val="00775340"/>
    <w:rsid w:val="008530A9"/>
    <w:rsid w:val="008D2AB3"/>
    <w:rsid w:val="009045C0"/>
    <w:rsid w:val="00906B31"/>
    <w:rsid w:val="009232B3"/>
    <w:rsid w:val="00935CFA"/>
    <w:rsid w:val="00957B44"/>
    <w:rsid w:val="009804CE"/>
    <w:rsid w:val="009A560F"/>
    <w:rsid w:val="009B2CBA"/>
    <w:rsid w:val="009D2083"/>
    <w:rsid w:val="00AB4C1A"/>
    <w:rsid w:val="00AB58C8"/>
    <w:rsid w:val="00AD5D9C"/>
    <w:rsid w:val="00AF0A57"/>
    <w:rsid w:val="00BA3555"/>
    <w:rsid w:val="00C00E07"/>
    <w:rsid w:val="00C16734"/>
    <w:rsid w:val="00C24C91"/>
    <w:rsid w:val="00C31EAF"/>
    <w:rsid w:val="00C82D33"/>
    <w:rsid w:val="00C95056"/>
    <w:rsid w:val="00D20B2E"/>
    <w:rsid w:val="00D86EEE"/>
    <w:rsid w:val="00DF0981"/>
    <w:rsid w:val="00DF72F1"/>
    <w:rsid w:val="00E01224"/>
    <w:rsid w:val="00E41630"/>
    <w:rsid w:val="00E52EE8"/>
    <w:rsid w:val="00E53E8D"/>
    <w:rsid w:val="00E85FF4"/>
    <w:rsid w:val="00EA0F5E"/>
    <w:rsid w:val="00EA71B1"/>
    <w:rsid w:val="00F15E47"/>
    <w:rsid w:val="00F3636C"/>
    <w:rsid w:val="00F61C2A"/>
    <w:rsid w:val="00FE16C5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Magdaléna Balážová</cp:lastModifiedBy>
  <cp:revision>5</cp:revision>
  <cp:lastPrinted>2022-12-06T09:14:00Z</cp:lastPrinted>
  <dcterms:created xsi:type="dcterms:W3CDTF">2022-12-09T10:31:00Z</dcterms:created>
  <dcterms:modified xsi:type="dcterms:W3CDTF">2022-12-09T10:59:00Z</dcterms:modified>
</cp:coreProperties>
</file>