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B8" w:rsidRDefault="00796ECA" w:rsidP="00EB7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7CB8">
        <w:rPr>
          <w:rFonts w:ascii="Times New Roman" w:hAnsi="Times New Roman" w:cs="Times New Roman"/>
          <w:b/>
          <w:sz w:val="28"/>
          <w:szCs w:val="28"/>
        </w:rPr>
        <w:t>Návrh na V. zmenu rozpočtu MČ Košice – Sídlisko KVP na rok 2018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zmena rozpočtu sa týka:</w:t>
      </w:r>
    </w:p>
    <w:p w:rsidR="00EB7CB8" w:rsidRPr="001A75CE" w:rsidRDefault="00EB7CB8" w:rsidP="00EB7CB8">
      <w:pPr>
        <w:pStyle w:val="Odstavecseseznamem"/>
        <w:numPr>
          <w:ilvl w:val="0"/>
          <w:numId w:val="1"/>
        </w:numPr>
        <w:ind w:left="0"/>
        <w:jc w:val="both"/>
      </w:pPr>
      <w:r>
        <w:rPr>
          <w:sz w:val="22"/>
          <w:szCs w:val="22"/>
        </w:rPr>
        <w:t xml:space="preserve">zmeny rozpočtu bežných výdavkov. Po zmene </w:t>
      </w:r>
      <w:r w:rsidR="002928A2">
        <w:rPr>
          <w:sz w:val="22"/>
          <w:szCs w:val="22"/>
        </w:rPr>
        <w:t>vo</w:t>
      </w:r>
      <w:r>
        <w:rPr>
          <w:sz w:val="22"/>
          <w:szCs w:val="22"/>
        </w:rPr>
        <w:t> výdavkovej časti bežného rozpočtu tento ostáva prebytkový.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EB7CB8" w:rsidRDefault="00EB7CB8" w:rsidP="00EB7CB8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817"/>
        <w:gridCol w:w="992"/>
        <w:gridCol w:w="851"/>
        <w:gridCol w:w="3827"/>
        <w:gridCol w:w="1134"/>
        <w:gridCol w:w="992"/>
        <w:gridCol w:w="1032"/>
      </w:tblGrid>
      <w:tr w:rsidR="00EB7CB8" w:rsidTr="00535D6D">
        <w:tc>
          <w:tcPr>
            <w:tcW w:w="817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Funk. klasif.</w:t>
            </w:r>
          </w:p>
        </w:tc>
        <w:tc>
          <w:tcPr>
            <w:tcW w:w="992" w:type="dxa"/>
            <w:hideMark/>
          </w:tcPr>
          <w:p w:rsidR="00EB7CB8" w:rsidRDefault="00EB7CB8" w:rsidP="0077479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Podpolož</w:t>
            </w:r>
          </w:p>
          <w:p w:rsidR="00EB7CB8" w:rsidRDefault="00EB7CB8" w:rsidP="0077479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</w:t>
            </w:r>
          </w:p>
        </w:tc>
        <w:tc>
          <w:tcPr>
            <w:tcW w:w="851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27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134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992" w:type="dxa"/>
            <w:hideMark/>
          </w:tcPr>
          <w:p w:rsidR="00EB7CB8" w:rsidRDefault="00EB7CB8" w:rsidP="0077479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Upravený rozpočet</w:t>
            </w:r>
          </w:p>
        </w:tc>
        <w:tc>
          <w:tcPr>
            <w:tcW w:w="1032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EB7CB8" w:rsidTr="00535D6D">
        <w:tc>
          <w:tcPr>
            <w:tcW w:w="817" w:type="dxa"/>
          </w:tcPr>
          <w:p w:rsidR="00EB7CB8" w:rsidRDefault="00EB7CB8" w:rsidP="0077479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</w:tcPr>
          <w:p w:rsidR="00EB7CB8" w:rsidRDefault="00EB7CB8" w:rsidP="00774791">
            <w:pPr>
              <w:jc w:val="both"/>
            </w:pPr>
          </w:p>
        </w:tc>
        <w:tc>
          <w:tcPr>
            <w:tcW w:w="3827" w:type="dxa"/>
            <w:hideMark/>
          </w:tcPr>
          <w:p w:rsidR="00EB7CB8" w:rsidRDefault="00EB7CB8" w:rsidP="00774791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134" w:type="dxa"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</w:tcPr>
          <w:p w:rsidR="00EB7CB8" w:rsidRDefault="00EB7CB8" w:rsidP="00774791">
            <w:pPr>
              <w:jc w:val="right"/>
            </w:pPr>
          </w:p>
        </w:tc>
      </w:tr>
      <w:tr w:rsidR="00EB7CB8" w:rsidTr="00535D6D">
        <w:tc>
          <w:tcPr>
            <w:tcW w:w="817" w:type="dxa"/>
          </w:tcPr>
          <w:p w:rsidR="00EB7CB8" w:rsidRDefault="00EB7CB8" w:rsidP="00774791">
            <w:pPr>
              <w:jc w:val="both"/>
              <w:rPr>
                <w:highlight w:val="green"/>
              </w:rPr>
            </w:pPr>
          </w:p>
        </w:tc>
        <w:tc>
          <w:tcPr>
            <w:tcW w:w="992" w:type="dxa"/>
          </w:tcPr>
          <w:p w:rsidR="00EB7CB8" w:rsidRDefault="00EB7CB8" w:rsidP="00774791">
            <w:pPr>
              <w:jc w:val="both"/>
            </w:pPr>
          </w:p>
        </w:tc>
        <w:tc>
          <w:tcPr>
            <w:tcW w:w="851" w:type="dxa"/>
          </w:tcPr>
          <w:p w:rsidR="00EB7CB8" w:rsidRDefault="00EB7CB8" w:rsidP="00774791">
            <w:pPr>
              <w:jc w:val="both"/>
            </w:pPr>
          </w:p>
        </w:tc>
        <w:tc>
          <w:tcPr>
            <w:tcW w:w="3827" w:type="dxa"/>
            <w:hideMark/>
          </w:tcPr>
          <w:p w:rsidR="00EB7CB8" w:rsidRDefault="00EB7CB8" w:rsidP="0077479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134" w:type="dxa"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</w:tcPr>
          <w:p w:rsidR="00EB7CB8" w:rsidRDefault="00EB7CB8" w:rsidP="00774791">
            <w:pPr>
              <w:jc w:val="right"/>
            </w:pPr>
          </w:p>
        </w:tc>
      </w:tr>
      <w:tr w:rsidR="00EB7CB8" w:rsidRPr="00535D6D" w:rsidTr="00535D6D">
        <w:tc>
          <w:tcPr>
            <w:tcW w:w="817" w:type="dxa"/>
            <w:hideMark/>
          </w:tcPr>
          <w:p w:rsidR="00EB7CB8" w:rsidRPr="00535D6D" w:rsidRDefault="00EB7CB8" w:rsidP="00774791">
            <w:pPr>
              <w:jc w:val="both"/>
              <w:rPr>
                <w:sz w:val="18"/>
                <w:szCs w:val="18"/>
              </w:rPr>
            </w:pPr>
            <w:r w:rsidRPr="00535D6D"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633004</w:t>
            </w:r>
          </w:p>
        </w:tc>
        <w:tc>
          <w:tcPr>
            <w:tcW w:w="851" w:type="dxa"/>
            <w:hideMark/>
          </w:tcPr>
          <w:p w:rsidR="00EB7CB8" w:rsidRPr="00535D6D" w:rsidRDefault="00EB7CB8" w:rsidP="002928A2">
            <w:pPr>
              <w:jc w:val="both"/>
            </w:pPr>
            <w:r w:rsidRPr="00535D6D">
              <w:t>41</w:t>
            </w:r>
          </w:p>
        </w:tc>
        <w:tc>
          <w:tcPr>
            <w:tcW w:w="3827" w:type="dxa"/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Prevádzkové stroje, prístroje, zariadenia ...</w:t>
            </w:r>
          </w:p>
        </w:tc>
        <w:tc>
          <w:tcPr>
            <w:tcW w:w="1134" w:type="dxa"/>
            <w:hideMark/>
          </w:tcPr>
          <w:p w:rsidR="00EB7CB8" w:rsidRPr="00535D6D" w:rsidRDefault="002928A2" w:rsidP="00774791">
            <w:pPr>
              <w:jc w:val="right"/>
            </w:pPr>
            <w:r w:rsidRPr="00535D6D">
              <w:t>120</w:t>
            </w:r>
          </w:p>
        </w:tc>
        <w:tc>
          <w:tcPr>
            <w:tcW w:w="992" w:type="dxa"/>
            <w:hideMark/>
          </w:tcPr>
          <w:p w:rsidR="00EB7CB8" w:rsidRPr="00535D6D" w:rsidRDefault="009A3995" w:rsidP="00774791">
            <w:pPr>
              <w:jc w:val="right"/>
              <w:rPr>
                <w:b/>
              </w:rPr>
            </w:pPr>
            <w:r>
              <w:rPr>
                <w:b/>
              </w:rPr>
              <w:t>49</w:t>
            </w:r>
            <w:r w:rsidR="002928A2" w:rsidRPr="00535D6D">
              <w:rPr>
                <w:b/>
              </w:rPr>
              <w:t>0</w:t>
            </w:r>
          </w:p>
        </w:tc>
        <w:tc>
          <w:tcPr>
            <w:tcW w:w="1032" w:type="dxa"/>
            <w:hideMark/>
          </w:tcPr>
          <w:p w:rsidR="00EB7CB8" w:rsidRPr="00535D6D" w:rsidRDefault="002928A2" w:rsidP="009A3995">
            <w:pPr>
              <w:jc w:val="right"/>
            </w:pPr>
            <w:r w:rsidRPr="00535D6D">
              <w:t>+</w:t>
            </w:r>
            <w:r w:rsidR="00494AEA">
              <w:t xml:space="preserve"> </w:t>
            </w:r>
            <w:r w:rsidR="009A3995">
              <w:t>37</w:t>
            </w:r>
            <w:r w:rsidR="00EB7CB8" w:rsidRPr="00535D6D">
              <w:t>0</w:t>
            </w:r>
          </w:p>
        </w:tc>
      </w:tr>
      <w:tr w:rsidR="00700CEA" w:rsidRPr="00535D6D" w:rsidTr="00535D6D">
        <w:tc>
          <w:tcPr>
            <w:tcW w:w="817" w:type="dxa"/>
          </w:tcPr>
          <w:p w:rsidR="00700CEA" w:rsidRPr="00535D6D" w:rsidRDefault="00700CE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700CEA" w:rsidRPr="00535D6D" w:rsidRDefault="00700CEA" w:rsidP="00774791">
            <w:pPr>
              <w:jc w:val="both"/>
            </w:pPr>
            <w:r w:rsidRPr="00535D6D">
              <w:t>635006</w:t>
            </w:r>
          </w:p>
        </w:tc>
        <w:tc>
          <w:tcPr>
            <w:tcW w:w="851" w:type="dxa"/>
            <w:hideMark/>
          </w:tcPr>
          <w:p w:rsidR="00700CEA" w:rsidRPr="00535D6D" w:rsidRDefault="00700CEA" w:rsidP="002928A2">
            <w:pPr>
              <w:jc w:val="both"/>
            </w:pPr>
            <w:r w:rsidRPr="00535D6D">
              <w:t>41</w:t>
            </w:r>
          </w:p>
        </w:tc>
        <w:tc>
          <w:tcPr>
            <w:tcW w:w="3827" w:type="dxa"/>
            <w:hideMark/>
          </w:tcPr>
          <w:p w:rsidR="00700CEA" w:rsidRPr="00535D6D" w:rsidRDefault="00700CEA" w:rsidP="002928A2">
            <w:pPr>
              <w:jc w:val="both"/>
            </w:pPr>
            <w:r w:rsidRPr="00535D6D">
              <w:t>Rutinná a štandardná údržba budov, obj.</w:t>
            </w:r>
            <w:r w:rsidR="00BC01C2" w:rsidRPr="00535D6D">
              <w:t xml:space="preserve"> </w:t>
            </w:r>
            <w:r w:rsidRPr="00535D6D">
              <w:t>...</w:t>
            </w:r>
          </w:p>
        </w:tc>
        <w:tc>
          <w:tcPr>
            <w:tcW w:w="1134" w:type="dxa"/>
            <w:hideMark/>
          </w:tcPr>
          <w:p w:rsidR="00700CEA" w:rsidRPr="00535D6D" w:rsidRDefault="00700CEA" w:rsidP="00774791">
            <w:pPr>
              <w:jc w:val="right"/>
            </w:pPr>
            <w:r w:rsidRPr="00535D6D">
              <w:t>15</w:t>
            </w:r>
          </w:p>
        </w:tc>
        <w:tc>
          <w:tcPr>
            <w:tcW w:w="992" w:type="dxa"/>
            <w:hideMark/>
          </w:tcPr>
          <w:p w:rsidR="00700CEA" w:rsidRPr="00535D6D" w:rsidRDefault="00700CEA" w:rsidP="00774791">
            <w:pPr>
              <w:jc w:val="right"/>
              <w:rPr>
                <w:b/>
              </w:rPr>
            </w:pPr>
            <w:r w:rsidRPr="00535D6D">
              <w:rPr>
                <w:b/>
              </w:rPr>
              <w:t>115</w:t>
            </w:r>
          </w:p>
        </w:tc>
        <w:tc>
          <w:tcPr>
            <w:tcW w:w="1032" w:type="dxa"/>
            <w:hideMark/>
          </w:tcPr>
          <w:p w:rsidR="00700CEA" w:rsidRPr="00535D6D" w:rsidRDefault="00700CEA" w:rsidP="002928A2">
            <w:pPr>
              <w:jc w:val="right"/>
            </w:pPr>
            <w:r w:rsidRPr="00535D6D">
              <w:t>+ 100</w:t>
            </w:r>
          </w:p>
        </w:tc>
      </w:tr>
      <w:tr w:rsidR="00EB7CB8" w:rsidRPr="00535D6D" w:rsidTr="007223B5">
        <w:tc>
          <w:tcPr>
            <w:tcW w:w="817" w:type="dxa"/>
            <w:tcBorders>
              <w:bottom w:val="single" w:sz="4" w:space="0" w:color="auto"/>
            </w:tcBorders>
          </w:tcPr>
          <w:p w:rsidR="00EB7CB8" w:rsidRPr="00535D6D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637014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EB7CB8" w:rsidRPr="00535D6D" w:rsidRDefault="00EB7CB8" w:rsidP="00774791">
            <w:pPr>
              <w:jc w:val="both"/>
            </w:pPr>
            <w:r w:rsidRPr="00535D6D">
              <w:t>41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Stravovanie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EB7CB8" w:rsidRPr="00535D6D" w:rsidRDefault="002928A2" w:rsidP="00774791">
            <w:pPr>
              <w:jc w:val="right"/>
            </w:pPr>
            <w:r w:rsidRPr="00535D6D">
              <w:t>12</w:t>
            </w:r>
            <w:r w:rsidR="00C040EF">
              <w:t xml:space="preserve"> </w:t>
            </w:r>
            <w:r w:rsidRPr="00535D6D">
              <w:t>323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EB7CB8" w:rsidRPr="00535D6D" w:rsidRDefault="004751C2" w:rsidP="00E6058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60583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E60583">
              <w:rPr>
                <w:b/>
              </w:rPr>
              <w:t>22</w:t>
            </w:r>
            <w:r>
              <w:rPr>
                <w:b/>
              </w:rPr>
              <w:t>3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hideMark/>
          </w:tcPr>
          <w:p w:rsidR="00EB7CB8" w:rsidRPr="00535D6D" w:rsidRDefault="00EB7CB8" w:rsidP="00E60583">
            <w:pPr>
              <w:jc w:val="right"/>
            </w:pPr>
            <w:r w:rsidRPr="00535D6D">
              <w:t xml:space="preserve">+ </w:t>
            </w:r>
            <w:r w:rsidR="00E60583">
              <w:t>9</w:t>
            </w:r>
            <w:r w:rsidR="002928A2" w:rsidRPr="00535D6D">
              <w:t>0</w:t>
            </w:r>
            <w:r w:rsidRPr="00535D6D">
              <w:t>0</w:t>
            </w:r>
          </w:p>
        </w:tc>
      </w:tr>
      <w:tr w:rsidR="00EB7CB8" w:rsidRPr="00535D6D" w:rsidTr="007223B5">
        <w:tc>
          <w:tcPr>
            <w:tcW w:w="817" w:type="dxa"/>
            <w:tcBorders>
              <w:bottom w:val="nil"/>
            </w:tcBorders>
          </w:tcPr>
          <w:p w:rsidR="00EB7CB8" w:rsidRPr="00535D6D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637031</w:t>
            </w:r>
          </w:p>
        </w:tc>
        <w:tc>
          <w:tcPr>
            <w:tcW w:w="851" w:type="dxa"/>
            <w:tcBorders>
              <w:bottom w:val="nil"/>
            </w:tcBorders>
            <w:hideMark/>
          </w:tcPr>
          <w:p w:rsidR="00EB7CB8" w:rsidRPr="00535D6D" w:rsidRDefault="00EB7CB8" w:rsidP="00774791">
            <w:pPr>
              <w:jc w:val="both"/>
            </w:pPr>
            <w:r w:rsidRPr="00535D6D">
              <w:t>41</w:t>
            </w:r>
          </w:p>
        </w:tc>
        <w:tc>
          <w:tcPr>
            <w:tcW w:w="3827" w:type="dxa"/>
            <w:tcBorders>
              <w:bottom w:val="nil"/>
            </w:tcBorders>
            <w:hideMark/>
          </w:tcPr>
          <w:p w:rsidR="00EB7CB8" w:rsidRPr="00535D6D" w:rsidRDefault="002928A2" w:rsidP="00774791">
            <w:pPr>
              <w:jc w:val="both"/>
            </w:pPr>
            <w:r w:rsidRPr="00535D6D">
              <w:t>Pokuty a penále</w:t>
            </w:r>
          </w:p>
        </w:tc>
        <w:tc>
          <w:tcPr>
            <w:tcW w:w="1134" w:type="dxa"/>
            <w:tcBorders>
              <w:bottom w:val="nil"/>
            </w:tcBorders>
            <w:hideMark/>
          </w:tcPr>
          <w:p w:rsidR="00EB7CB8" w:rsidRPr="00535D6D" w:rsidRDefault="002928A2" w:rsidP="00774791">
            <w:pPr>
              <w:jc w:val="right"/>
            </w:pPr>
            <w:r w:rsidRPr="00535D6D">
              <w:t>0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EB7CB8" w:rsidRPr="00535D6D" w:rsidRDefault="002928A2" w:rsidP="00E60583">
            <w:pPr>
              <w:jc w:val="right"/>
              <w:rPr>
                <w:b/>
              </w:rPr>
            </w:pPr>
            <w:r w:rsidRPr="00535D6D">
              <w:rPr>
                <w:b/>
              </w:rPr>
              <w:t>10</w:t>
            </w:r>
          </w:p>
        </w:tc>
        <w:tc>
          <w:tcPr>
            <w:tcW w:w="1032" w:type="dxa"/>
            <w:tcBorders>
              <w:bottom w:val="nil"/>
            </w:tcBorders>
            <w:hideMark/>
          </w:tcPr>
          <w:p w:rsidR="00EB7CB8" w:rsidRPr="00535D6D" w:rsidRDefault="002928A2" w:rsidP="002928A2">
            <w:pPr>
              <w:jc w:val="right"/>
            </w:pPr>
            <w:r w:rsidRPr="00535D6D">
              <w:t>+</w:t>
            </w:r>
            <w:r w:rsidR="00EB7CB8" w:rsidRPr="00535D6D">
              <w:t xml:space="preserve"> </w:t>
            </w:r>
            <w:r w:rsidRPr="00535D6D">
              <w:t>10</w:t>
            </w:r>
          </w:p>
        </w:tc>
      </w:tr>
      <w:tr w:rsidR="00EB7CB8" w:rsidTr="007223B5">
        <w:tc>
          <w:tcPr>
            <w:tcW w:w="817" w:type="dxa"/>
            <w:tcBorders>
              <w:top w:val="nil"/>
            </w:tcBorders>
            <w:hideMark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hideMark/>
          </w:tcPr>
          <w:p w:rsidR="00EB7CB8" w:rsidRDefault="00EB7CB8" w:rsidP="00774791"/>
        </w:tc>
        <w:tc>
          <w:tcPr>
            <w:tcW w:w="851" w:type="dxa"/>
            <w:tcBorders>
              <w:top w:val="nil"/>
            </w:tcBorders>
            <w:hideMark/>
          </w:tcPr>
          <w:p w:rsidR="00EB7CB8" w:rsidRDefault="00EB7CB8" w:rsidP="00774791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</w:tcBorders>
            <w:hideMark/>
          </w:tcPr>
          <w:p w:rsidR="00EB7CB8" w:rsidRDefault="00EB7CB8" w:rsidP="00774791"/>
        </w:tc>
        <w:tc>
          <w:tcPr>
            <w:tcW w:w="1134" w:type="dxa"/>
            <w:tcBorders>
              <w:top w:val="nil"/>
            </w:tcBorders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tcBorders>
              <w:top w:val="nil"/>
            </w:tcBorders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nil"/>
            </w:tcBorders>
            <w:hideMark/>
          </w:tcPr>
          <w:p w:rsidR="00EB7CB8" w:rsidRDefault="00EB7CB8" w:rsidP="00774791">
            <w:pPr>
              <w:jc w:val="right"/>
            </w:pPr>
          </w:p>
        </w:tc>
      </w:tr>
      <w:tr w:rsidR="00EB7CB8" w:rsidTr="00535D6D">
        <w:tc>
          <w:tcPr>
            <w:tcW w:w="817" w:type="dxa"/>
          </w:tcPr>
          <w:p w:rsidR="00EB7CB8" w:rsidRDefault="00EB7CB8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EB7CB8" w:rsidRDefault="00EB7CB8" w:rsidP="00774791"/>
        </w:tc>
        <w:tc>
          <w:tcPr>
            <w:tcW w:w="851" w:type="dxa"/>
            <w:hideMark/>
          </w:tcPr>
          <w:p w:rsidR="00EB7CB8" w:rsidRDefault="00EB7CB8" w:rsidP="00774791"/>
        </w:tc>
        <w:tc>
          <w:tcPr>
            <w:tcW w:w="3827" w:type="dxa"/>
            <w:hideMark/>
          </w:tcPr>
          <w:p w:rsidR="00EB7CB8" w:rsidRDefault="00EB7CB8" w:rsidP="00774791"/>
        </w:tc>
        <w:tc>
          <w:tcPr>
            <w:tcW w:w="1134" w:type="dxa"/>
            <w:hideMark/>
          </w:tcPr>
          <w:p w:rsidR="00EB7CB8" w:rsidRDefault="00EB7CB8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EB7CB8" w:rsidRDefault="00EB7CB8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EB7CB8" w:rsidRDefault="00EB7CB8" w:rsidP="00774791">
            <w:pPr>
              <w:jc w:val="right"/>
            </w:pPr>
          </w:p>
        </w:tc>
      </w:tr>
      <w:tr w:rsidR="00700CEA" w:rsidTr="00535D6D">
        <w:tc>
          <w:tcPr>
            <w:tcW w:w="817" w:type="dxa"/>
          </w:tcPr>
          <w:p w:rsidR="00700CEA" w:rsidRDefault="00700CE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700CEA" w:rsidRDefault="00700CEA" w:rsidP="00774791"/>
        </w:tc>
        <w:tc>
          <w:tcPr>
            <w:tcW w:w="851" w:type="dxa"/>
            <w:hideMark/>
          </w:tcPr>
          <w:p w:rsidR="00700CEA" w:rsidRDefault="00700CEA" w:rsidP="00774791"/>
        </w:tc>
        <w:tc>
          <w:tcPr>
            <w:tcW w:w="3827" w:type="dxa"/>
            <w:hideMark/>
          </w:tcPr>
          <w:p w:rsidR="00700CEA" w:rsidRPr="00122144" w:rsidRDefault="00700CEA" w:rsidP="00FB2E49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535D6D"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134" w:type="dxa"/>
            <w:hideMark/>
          </w:tcPr>
          <w:p w:rsidR="00700CEA" w:rsidRDefault="00700CEA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700CEA" w:rsidRDefault="00700CE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700CEA" w:rsidRDefault="00700CEA" w:rsidP="00774791">
            <w:pPr>
              <w:jc w:val="right"/>
            </w:pPr>
          </w:p>
        </w:tc>
      </w:tr>
      <w:tr w:rsidR="00700CEA" w:rsidTr="007223B5">
        <w:tc>
          <w:tcPr>
            <w:tcW w:w="817" w:type="dxa"/>
            <w:tcBorders>
              <w:bottom w:val="single" w:sz="4" w:space="0" w:color="auto"/>
            </w:tcBorders>
          </w:tcPr>
          <w:p w:rsidR="00700CEA" w:rsidRDefault="00700CEA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700CEA" w:rsidRDefault="00700CEA" w:rsidP="00774791"/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700CEA" w:rsidRDefault="00700CEA" w:rsidP="00774791"/>
        </w:tc>
        <w:tc>
          <w:tcPr>
            <w:tcW w:w="3827" w:type="dxa"/>
            <w:tcBorders>
              <w:bottom w:val="single" w:sz="4" w:space="0" w:color="auto"/>
            </w:tcBorders>
            <w:hideMark/>
          </w:tcPr>
          <w:p w:rsidR="00700CEA" w:rsidRPr="00122144" w:rsidRDefault="00700CEA" w:rsidP="00700CEA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122144">
              <w:rPr>
                <w:b/>
                <w:i/>
                <w:sz w:val="20"/>
                <w:lang w:val="sk-SK"/>
              </w:rPr>
              <w:t>Podprogram 2.</w:t>
            </w:r>
            <w:r>
              <w:rPr>
                <w:b/>
                <w:i/>
                <w:sz w:val="20"/>
                <w:lang w:val="sk-SK"/>
              </w:rPr>
              <w:t>4</w:t>
            </w:r>
            <w:r w:rsidRPr="00122144">
              <w:rPr>
                <w:b/>
                <w:i/>
                <w:sz w:val="20"/>
                <w:lang w:val="sk-SK"/>
              </w:rPr>
              <w:t xml:space="preserve">: </w:t>
            </w:r>
            <w:r>
              <w:rPr>
                <w:b/>
                <w:i/>
                <w:sz w:val="20"/>
                <w:lang w:val="sk-SK"/>
              </w:rPr>
              <w:t xml:space="preserve">Hospodárska správa, údržba a prevádzka budov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700CEA" w:rsidRDefault="00700CEA" w:rsidP="00774791">
            <w:pPr>
              <w:jc w:val="right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700CEA" w:rsidRDefault="00700CEA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hideMark/>
          </w:tcPr>
          <w:p w:rsidR="00700CEA" w:rsidRDefault="00700CEA" w:rsidP="00774791">
            <w:pPr>
              <w:jc w:val="right"/>
            </w:pPr>
          </w:p>
        </w:tc>
      </w:tr>
      <w:tr w:rsidR="00700CEA" w:rsidTr="007223B5">
        <w:tc>
          <w:tcPr>
            <w:tcW w:w="817" w:type="dxa"/>
            <w:tcBorders>
              <w:bottom w:val="single" w:sz="4" w:space="0" w:color="auto"/>
            </w:tcBorders>
          </w:tcPr>
          <w:p w:rsidR="00700CEA" w:rsidRDefault="00BC01C2" w:rsidP="00BC01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01.3.3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700CEA" w:rsidRDefault="00BC01C2" w:rsidP="00FB2E49">
            <w:r>
              <w:t>63500</w:t>
            </w:r>
            <w:r w:rsidR="00FB2E49"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700CEA" w:rsidRDefault="00BC01C2" w:rsidP="00774791">
            <w:r>
              <w:t>41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hideMark/>
          </w:tcPr>
          <w:p w:rsidR="00700CEA" w:rsidRDefault="00E74FCD" w:rsidP="00E74FCD">
            <w:r>
              <w:t>Rutinná a štandardná údržba prev. strojov ...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700CEA" w:rsidRDefault="00FB2E49" w:rsidP="00774791">
            <w:pPr>
              <w:jc w:val="right"/>
            </w:pPr>
            <w: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700CEA" w:rsidRDefault="008F5248" w:rsidP="00E6058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FB2E49">
              <w:rPr>
                <w:b/>
              </w:rPr>
              <w:t>0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hideMark/>
          </w:tcPr>
          <w:p w:rsidR="00700CEA" w:rsidRDefault="00FB2E49" w:rsidP="008F5248">
            <w:pPr>
              <w:jc w:val="right"/>
            </w:pPr>
            <w:r>
              <w:t>+</w:t>
            </w:r>
            <w:r w:rsidR="00494AEA">
              <w:t xml:space="preserve"> </w:t>
            </w:r>
            <w:r w:rsidR="008F5248">
              <w:t>5</w:t>
            </w:r>
            <w:r>
              <w:t>0</w:t>
            </w:r>
          </w:p>
        </w:tc>
      </w:tr>
      <w:tr w:rsidR="00FB2E49" w:rsidTr="007223B5">
        <w:tc>
          <w:tcPr>
            <w:tcW w:w="817" w:type="dxa"/>
            <w:tcBorders>
              <w:top w:val="single" w:sz="4" w:space="0" w:color="auto"/>
            </w:tcBorders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r>
              <w:t>635006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r>
              <w:t>41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r>
              <w:t>Rutinná a štandardná údržba budov, obj. ...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pPr>
              <w:jc w:val="right"/>
            </w:pPr>
            <w:r>
              <w:t>26</w:t>
            </w:r>
            <w:r w:rsidR="00C040EF">
              <w:t xml:space="preserve"> </w:t>
            </w:r>
            <w:r>
              <w:t>700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FB2E49" w:rsidRDefault="00FB2E49" w:rsidP="00C040EF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="00C040EF">
              <w:rPr>
                <w:b/>
              </w:rPr>
              <w:t xml:space="preserve"> 24</w:t>
            </w:r>
            <w:r>
              <w:rPr>
                <w:b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hideMark/>
          </w:tcPr>
          <w:p w:rsidR="00FB2E49" w:rsidRDefault="00FB2E49" w:rsidP="00C040EF">
            <w:pPr>
              <w:jc w:val="right"/>
            </w:pPr>
            <w:r>
              <w:t>-</w:t>
            </w:r>
            <w:r w:rsidR="00494AEA">
              <w:t xml:space="preserve"> </w:t>
            </w:r>
            <w:r>
              <w:t xml:space="preserve">1 </w:t>
            </w:r>
            <w:r w:rsidR="00C040EF">
              <w:t>46</w:t>
            </w:r>
            <w:r>
              <w:t>0</w:t>
            </w:r>
          </w:p>
        </w:tc>
      </w:tr>
      <w:tr w:rsidR="00FB2E49" w:rsidTr="007223B5">
        <w:tc>
          <w:tcPr>
            <w:tcW w:w="817" w:type="dxa"/>
            <w:tcBorders>
              <w:top w:val="single" w:sz="4" w:space="0" w:color="auto"/>
            </w:tcBorders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FB2E49" w:rsidRDefault="00FB2E49" w:rsidP="00FB2E49"/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FB2E49" w:rsidRDefault="00FB2E49" w:rsidP="00FB2E49"/>
        </w:tc>
        <w:tc>
          <w:tcPr>
            <w:tcW w:w="3827" w:type="dxa"/>
            <w:tcBorders>
              <w:top w:val="single" w:sz="4" w:space="0" w:color="auto"/>
            </w:tcBorders>
            <w:hideMark/>
          </w:tcPr>
          <w:p w:rsidR="00FB2E49" w:rsidRDefault="00FB2E49" w:rsidP="00FB2E49"/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pPr>
              <w:jc w:val="right"/>
              <w:rPr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hideMark/>
          </w:tcPr>
          <w:p w:rsidR="00FB2E49" w:rsidRDefault="00FB2E49" w:rsidP="00FB2E49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Pr="00122144" w:rsidRDefault="00FB2E49" w:rsidP="00FB2E49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122144"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Pr="00122144" w:rsidRDefault="00FB2E49" w:rsidP="00700CEA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122144">
              <w:rPr>
                <w:b/>
                <w:i/>
                <w:sz w:val="20"/>
                <w:lang w:val="sk-SK"/>
              </w:rPr>
              <w:t>Podprogram 2.</w:t>
            </w:r>
            <w:r>
              <w:rPr>
                <w:b/>
                <w:i/>
                <w:sz w:val="20"/>
                <w:lang w:val="sk-SK"/>
              </w:rPr>
              <w:t>5</w:t>
            </w:r>
            <w:r w:rsidRPr="00122144">
              <w:rPr>
                <w:b/>
                <w:i/>
                <w:sz w:val="20"/>
                <w:lang w:val="sk-SK"/>
              </w:rPr>
              <w:t xml:space="preserve">: </w:t>
            </w:r>
            <w:r>
              <w:rPr>
                <w:b/>
                <w:i/>
                <w:sz w:val="20"/>
                <w:lang w:val="sk-SK"/>
              </w:rPr>
              <w:t>Vzdelávanie zamestnancov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09.5.0</w:t>
            </w:r>
          </w:p>
        </w:tc>
        <w:tc>
          <w:tcPr>
            <w:tcW w:w="992" w:type="dxa"/>
            <w:hideMark/>
          </w:tcPr>
          <w:p w:rsidR="00FB2E49" w:rsidRDefault="00FB2E49" w:rsidP="00774791">
            <w:r>
              <w:t>637001</w:t>
            </w:r>
          </w:p>
        </w:tc>
        <w:tc>
          <w:tcPr>
            <w:tcW w:w="851" w:type="dxa"/>
            <w:hideMark/>
          </w:tcPr>
          <w:p w:rsidR="00FB2E49" w:rsidRDefault="00FB2E49" w:rsidP="00774791">
            <w:r>
              <w:t>41</w:t>
            </w:r>
          </w:p>
        </w:tc>
        <w:tc>
          <w:tcPr>
            <w:tcW w:w="3827" w:type="dxa"/>
            <w:hideMark/>
          </w:tcPr>
          <w:p w:rsidR="00FB2E49" w:rsidRDefault="00FB2E49" w:rsidP="00774791">
            <w:r>
              <w:t>Školenia, kurzy, semináre ...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  <w:r>
              <w:t>3</w:t>
            </w:r>
            <w:r w:rsidR="00C040EF">
              <w:t xml:space="preserve"> </w:t>
            </w:r>
            <w:r>
              <w:t>500</w:t>
            </w: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C040EF">
              <w:rPr>
                <w:b/>
              </w:rPr>
              <w:t xml:space="preserve"> </w:t>
            </w:r>
            <w:r>
              <w:rPr>
                <w:b/>
              </w:rPr>
              <w:t>420</w:t>
            </w: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  <w:r>
              <w:t>-1 080</w:t>
            </w: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Default="00FB2E49" w:rsidP="00774791"/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Pr="00122144" w:rsidRDefault="00FB2E49" w:rsidP="00774791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122144">
              <w:rPr>
                <w:b/>
                <w:sz w:val="20"/>
                <w:lang w:val="sk-SK"/>
              </w:rPr>
              <w:t>Program 2: Interné služby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Pr="00122144" w:rsidRDefault="00FB2E49" w:rsidP="000B6C89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122144">
              <w:rPr>
                <w:b/>
                <w:i/>
                <w:sz w:val="20"/>
                <w:lang w:val="sk-SK"/>
              </w:rPr>
              <w:t>Podprogram 2.</w:t>
            </w:r>
            <w:r>
              <w:rPr>
                <w:b/>
                <w:i/>
                <w:sz w:val="20"/>
                <w:lang w:val="sk-SK"/>
              </w:rPr>
              <w:t>6</w:t>
            </w:r>
            <w:r w:rsidRPr="00122144">
              <w:rPr>
                <w:b/>
                <w:i/>
                <w:sz w:val="20"/>
                <w:lang w:val="sk-SK"/>
              </w:rPr>
              <w:t xml:space="preserve">: </w:t>
            </w:r>
            <w:r>
              <w:rPr>
                <w:b/>
                <w:i/>
                <w:sz w:val="20"/>
                <w:lang w:val="sk-SK"/>
              </w:rPr>
              <w:t>Obecný informačný systém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Default="00FB2E49" w:rsidP="000B6C8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01.1.1</w:t>
            </w:r>
          </w:p>
        </w:tc>
        <w:tc>
          <w:tcPr>
            <w:tcW w:w="992" w:type="dxa"/>
            <w:hideMark/>
          </w:tcPr>
          <w:p w:rsidR="00FB2E49" w:rsidRDefault="00FB2E49" w:rsidP="00FF59CC">
            <w:r>
              <w:t>633013</w:t>
            </w:r>
          </w:p>
        </w:tc>
        <w:tc>
          <w:tcPr>
            <w:tcW w:w="851" w:type="dxa"/>
            <w:hideMark/>
          </w:tcPr>
          <w:p w:rsidR="00FB2E49" w:rsidRDefault="00FB2E49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hideMark/>
          </w:tcPr>
          <w:p w:rsidR="00FB2E49" w:rsidRDefault="00FB2E49" w:rsidP="00774791">
            <w:pPr>
              <w:jc w:val="both"/>
            </w:pPr>
            <w:r>
              <w:t>Softvér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  <w:r>
              <w:t>680</w:t>
            </w:r>
          </w:p>
        </w:tc>
        <w:tc>
          <w:tcPr>
            <w:tcW w:w="992" w:type="dxa"/>
            <w:hideMark/>
          </w:tcPr>
          <w:p w:rsidR="00FB2E49" w:rsidRDefault="00FB2E49" w:rsidP="00E60583">
            <w:pPr>
              <w:jc w:val="right"/>
              <w:rPr>
                <w:b/>
              </w:rPr>
            </w:pPr>
            <w:r>
              <w:rPr>
                <w:b/>
              </w:rPr>
              <w:t>710</w:t>
            </w:r>
          </w:p>
        </w:tc>
        <w:tc>
          <w:tcPr>
            <w:tcW w:w="1032" w:type="dxa"/>
            <w:hideMark/>
          </w:tcPr>
          <w:p w:rsidR="00FB2E49" w:rsidRDefault="00FB2E49" w:rsidP="00E60583">
            <w:pPr>
              <w:jc w:val="right"/>
            </w:pPr>
            <w:r>
              <w:t>+ 30</w:t>
            </w:r>
          </w:p>
        </w:tc>
      </w:tr>
      <w:tr w:rsidR="00FB2E49" w:rsidTr="00535D6D">
        <w:tc>
          <w:tcPr>
            <w:tcW w:w="817" w:type="dxa"/>
          </w:tcPr>
          <w:p w:rsidR="00FB2E49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>
            <w:r>
              <w:t>635009</w:t>
            </w:r>
          </w:p>
        </w:tc>
        <w:tc>
          <w:tcPr>
            <w:tcW w:w="851" w:type="dxa"/>
            <w:hideMark/>
          </w:tcPr>
          <w:p w:rsidR="00FB2E49" w:rsidRDefault="00FB2E49" w:rsidP="00774791">
            <w:pPr>
              <w:jc w:val="both"/>
            </w:pPr>
            <w:r>
              <w:t>41</w:t>
            </w:r>
          </w:p>
        </w:tc>
        <w:tc>
          <w:tcPr>
            <w:tcW w:w="3827" w:type="dxa"/>
            <w:hideMark/>
          </w:tcPr>
          <w:p w:rsidR="00FB2E49" w:rsidRDefault="00FB2E49" w:rsidP="00700CEA">
            <w:pPr>
              <w:jc w:val="both"/>
            </w:pPr>
            <w:r>
              <w:t>Rutinná a štandardná údržba softvéru</w:t>
            </w:r>
          </w:p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  <w:r>
              <w:t>3</w:t>
            </w:r>
            <w:r w:rsidR="00C040EF">
              <w:t xml:space="preserve"> </w:t>
            </w:r>
            <w:r>
              <w:t>856</w:t>
            </w: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C040EF">
              <w:rPr>
                <w:b/>
              </w:rPr>
              <w:t xml:space="preserve"> </w:t>
            </w:r>
            <w:r>
              <w:rPr>
                <w:b/>
              </w:rPr>
              <w:t>936</w:t>
            </w:r>
          </w:p>
        </w:tc>
        <w:tc>
          <w:tcPr>
            <w:tcW w:w="1032" w:type="dxa"/>
            <w:hideMark/>
          </w:tcPr>
          <w:p w:rsidR="00FB2E49" w:rsidRDefault="00FB2E49" w:rsidP="00700CEA">
            <w:pPr>
              <w:jc w:val="right"/>
            </w:pPr>
            <w:r>
              <w:t>+ 1 080</w:t>
            </w:r>
          </w:p>
        </w:tc>
      </w:tr>
      <w:tr w:rsidR="00FB2E49" w:rsidTr="00535D6D">
        <w:tc>
          <w:tcPr>
            <w:tcW w:w="817" w:type="dxa"/>
          </w:tcPr>
          <w:p w:rsidR="00FB2E49" w:rsidRPr="00430A3F" w:rsidRDefault="00FB2E49" w:rsidP="00774791">
            <w:pPr>
              <w:jc w:val="both"/>
            </w:pPr>
          </w:p>
        </w:tc>
        <w:tc>
          <w:tcPr>
            <w:tcW w:w="992" w:type="dxa"/>
            <w:hideMark/>
          </w:tcPr>
          <w:p w:rsidR="00FB2E49" w:rsidRPr="00430A3F" w:rsidRDefault="00FB2E49" w:rsidP="00774791">
            <w:pPr>
              <w:jc w:val="both"/>
            </w:pPr>
          </w:p>
        </w:tc>
        <w:tc>
          <w:tcPr>
            <w:tcW w:w="851" w:type="dxa"/>
            <w:hideMark/>
          </w:tcPr>
          <w:p w:rsidR="00FB2E49" w:rsidRPr="00430A3F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  <w:hideMark/>
          </w:tcPr>
          <w:p w:rsidR="00FB2E49" w:rsidRDefault="00FB2E49" w:rsidP="00774791"/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  <w:tr w:rsidR="00FB2E49" w:rsidTr="00535D6D">
        <w:tc>
          <w:tcPr>
            <w:tcW w:w="817" w:type="dxa"/>
          </w:tcPr>
          <w:p w:rsidR="00FB2E49" w:rsidRPr="00AE5431" w:rsidRDefault="00FB2E49" w:rsidP="0077479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FB2E49" w:rsidRDefault="00FB2E49" w:rsidP="00774791"/>
        </w:tc>
        <w:tc>
          <w:tcPr>
            <w:tcW w:w="851" w:type="dxa"/>
            <w:hideMark/>
          </w:tcPr>
          <w:p w:rsidR="00FB2E49" w:rsidRDefault="00FB2E49" w:rsidP="00774791"/>
        </w:tc>
        <w:tc>
          <w:tcPr>
            <w:tcW w:w="3827" w:type="dxa"/>
            <w:hideMark/>
          </w:tcPr>
          <w:p w:rsidR="00FB2E49" w:rsidRDefault="00FB2E49" w:rsidP="00774791"/>
        </w:tc>
        <w:tc>
          <w:tcPr>
            <w:tcW w:w="1134" w:type="dxa"/>
            <w:hideMark/>
          </w:tcPr>
          <w:p w:rsidR="00FB2E49" w:rsidRDefault="00FB2E49" w:rsidP="00774791">
            <w:pPr>
              <w:jc w:val="right"/>
            </w:pPr>
          </w:p>
        </w:tc>
        <w:tc>
          <w:tcPr>
            <w:tcW w:w="992" w:type="dxa"/>
            <w:hideMark/>
          </w:tcPr>
          <w:p w:rsidR="00FB2E49" w:rsidRPr="00436F4D" w:rsidRDefault="00FB2E49" w:rsidP="00774791">
            <w:pPr>
              <w:jc w:val="right"/>
              <w:rPr>
                <w:b/>
              </w:rPr>
            </w:pPr>
          </w:p>
        </w:tc>
        <w:tc>
          <w:tcPr>
            <w:tcW w:w="1032" w:type="dxa"/>
            <w:hideMark/>
          </w:tcPr>
          <w:p w:rsidR="00FB2E49" w:rsidRDefault="00FB2E49" w:rsidP="00774791">
            <w:pPr>
              <w:jc w:val="right"/>
            </w:pPr>
          </w:p>
        </w:tc>
      </w:tr>
    </w:tbl>
    <w:p w:rsidR="007223B5" w:rsidRDefault="007223B5" w:rsidP="00AF2102">
      <w:pPr>
        <w:tabs>
          <w:tab w:val="left" w:pos="567"/>
        </w:tabs>
        <w:spacing w:after="0" w:line="240" w:lineRule="auto"/>
        <w:jc w:val="both"/>
      </w:pPr>
    </w:p>
    <w:p w:rsidR="007223B5" w:rsidRDefault="007223B5" w:rsidP="00AF2102">
      <w:pPr>
        <w:tabs>
          <w:tab w:val="left" w:pos="567"/>
        </w:tabs>
        <w:spacing w:after="0" w:line="240" w:lineRule="auto"/>
        <w:jc w:val="both"/>
      </w:pPr>
    </w:p>
    <w:p w:rsidR="007223B5" w:rsidRDefault="007223B5" w:rsidP="00AF2102">
      <w:pPr>
        <w:tabs>
          <w:tab w:val="left" w:pos="567"/>
        </w:tabs>
        <w:spacing w:after="0" w:line="240" w:lineRule="auto"/>
        <w:jc w:val="both"/>
      </w:pP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123">
        <w:rPr>
          <w:rFonts w:ascii="Times New Roman" w:hAnsi="Times New Roman" w:cs="Times New Roman"/>
          <w:b/>
          <w:sz w:val="24"/>
          <w:szCs w:val="24"/>
        </w:rPr>
        <w:t>Dôvodová správa</w:t>
      </w:r>
    </w:p>
    <w:p w:rsidR="00AF2102" w:rsidRDefault="00AF2102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51495" w:rsidRPr="00C51495" w:rsidRDefault="00C51495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 xml:space="preserve">V rámci bežných výdavkov v programe 2: </w:t>
      </w:r>
      <w:r w:rsidRPr="00C51495">
        <w:rPr>
          <w:rFonts w:ascii="Times New Roman" w:hAnsi="Times New Roman" w:cs="Times New Roman"/>
          <w:sz w:val="24"/>
          <w:szCs w:val="24"/>
        </w:rPr>
        <w:t>Interné služby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1495">
        <w:rPr>
          <w:rFonts w:ascii="Times New Roman" w:hAnsi="Times New Roman" w:cs="Times New Roman"/>
          <w:i/>
          <w:sz w:val="24"/>
          <w:szCs w:val="24"/>
        </w:rPr>
        <w:t>Podprogram 2.6: Obecný informačný systém</w:t>
      </w:r>
      <w:r>
        <w:rPr>
          <w:rFonts w:ascii="Times New Roman" w:hAnsi="Times New Roman" w:cs="Times New Roman"/>
          <w:sz w:val="24"/>
          <w:szCs w:val="24"/>
        </w:rPr>
        <w:t xml:space="preserve"> navrhujeme zvýšenie rozpočtu o 1</w:t>
      </w:r>
      <w:r w:rsidR="00FB2E4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080</w:t>
      </w:r>
      <w:r w:rsidR="00FB2E49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€ na podpoložke 635009 Rutinná a štandardná údržba softvéru pre sfunkčnenie servera, ktorý bol napadnutý neznámym vírusom. Súčasne znižujeme rozpočet v tom istom programe, </w:t>
      </w:r>
      <w:r w:rsidRPr="00C51495">
        <w:rPr>
          <w:rFonts w:ascii="Times New Roman" w:hAnsi="Times New Roman" w:cs="Times New Roman"/>
          <w:i/>
          <w:sz w:val="24"/>
          <w:szCs w:val="24"/>
        </w:rPr>
        <w:t>Podprogram 2.5: Vzdelávanie zamestnancov</w:t>
      </w:r>
      <w:r w:rsidR="00494A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4AEA">
        <w:rPr>
          <w:rFonts w:ascii="Times New Roman" w:hAnsi="Times New Roman" w:cs="Times New Roman"/>
          <w:sz w:val="24"/>
          <w:szCs w:val="24"/>
        </w:rPr>
        <w:t>o </w:t>
      </w:r>
      <w:r w:rsidRPr="00C51495">
        <w:rPr>
          <w:rFonts w:ascii="Times New Roman" w:hAnsi="Times New Roman" w:cs="Times New Roman"/>
          <w:sz w:val="24"/>
          <w:szCs w:val="24"/>
        </w:rPr>
        <w:t>sumu</w:t>
      </w:r>
      <w:r w:rsidR="00494AEA">
        <w:rPr>
          <w:rFonts w:ascii="Times New Roman" w:hAnsi="Times New Roman" w:cs="Times New Roman"/>
          <w:sz w:val="24"/>
          <w:szCs w:val="24"/>
        </w:rPr>
        <w:t xml:space="preserve"> 1 080,00 €, </w:t>
      </w:r>
      <w:r>
        <w:rPr>
          <w:rFonts w:ascii="Times New Roman" w:hAnsi="Times New Roman" w:cs="Times New Roman"/>
          <w:sz w:val="24"/>
          <w:szCs w:val="24"/>
        </w:rPr>
        <w:t xml:space="preserve">z dôvodu nečerpania rozpočtu na podpoložke 637001 </w:t>
      </w:r>
      <w:r w:rsidRPr="00C51495">
        <w:rPr>
          <w:rFonts w:ascii="Times New Roman" w:hAnsi="Times New Roman" w:cs="Times New Roman"/>
          <w:sz w:val="24"/>
          <w:szCs w:val="24"/>
        </w:rPr>
        <w:t>Školenia, kurzy, semináre ...</w:t>
      </w:r>
    </w:p>
    <w:p w:rsidR="00C51495" w:rsidRDefault="00C51495" w:rsidP="00AF21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FCD" w:rsidRDefault="00C51495" w:rsidP="007223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 dôvodu enormne nízkeho čerpania v programe </w:t>
      </w:r>
      <w:r w:rsidRPr="00C514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51495">
        <w:rPr>
          <w:rFonts w:ascii="Times New Roman" w:hAnsi="Times New Roman" w:cs="Times New Roman"/>
          <w:sz w:val="24"/>
          <w:szCs w:val="24"/>
        </w:rPr>
        <w:t xml:space="preserve"> Interné služby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1495">
        <w:rPr>
          <w:rFonts w:ascii="Times New Roman" w:hAnsi="Times New Roman" w:cs="Times New Roman"/>
          <w:i/>
          <w:sz w:val="24"/>
          <w:szCs w:val="24"/>
        </w:rPr>
        <w:t>Podprogram 2.4: Hospodárska správa, údržba a prevádzka budov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51495">
        <w:rPr>
          <w:rFonts w:ascii="Times New Roman" w:hAnsi="Times New Roman" w:cs="Times New Roman"/>
          <w:sz w:val="24"/>
          <w:szCs w:val="24"/>
        </w:rPr>
        <w:t>na podpoložke</w:t>
      </w:r>
      <w:r>
        <w:rPr>
          <w:rFonts w:ascii="Times New Roman" w:hAnsi="Times New Roman" w:cs="Times New Roman"/>
          <w:sz w:val="24"/>
          <w:szCs w:val="24"/>
        </w:rPr>
        <w:t xml:space="preserve"> 635006 znižujeme rozpočet o</w:t>
      </w:r>
      <w:r w:rsidR="00FB2E49">
        <w:rPr>
          <w:rFonts w:ascii="Times New Roman" w:hAnsi="Times New Roman" w:cs="Times New Roman"/>
          <w:sz w:val="24"/>
          <w:szCs w:val="24"/>
        </w:rPr>
        <w:t> 1 </w:t>
      </w:r>
      <w:r w:rsidR="00C040EF">
        <w:rPr>
          <w:rFonts w:ascii="Times New Roman" w:hAnsi="Times New Roman" w:cs="Times New Roman"/>
          <w:sz w:val="24"/>
          <w:szCs w:val="24"/>
        </w:rPr>
        <w:t>46</w:t>
      </w:r>
      <w:r w:rsidR="00FB2E49">
        <w:rPr>
          <w:rFonts w:ascii="Times New Roman" w:hAnsi="Times New Roman" w:cs="Times New Roman"/>
          <w:sz w:val="24"/>
          <w:szCs w:val="24"/>
        </w:rPr>
        <w:t xml:space="preserve">0,00 € a navrhujeme úpravu rozpočtu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E49" w:rsidRPr="00FB2E49">
        <w:rPr>
          <w:rFonts w:ascii="Times New Roman" w:hAnsi="Times New Roman" w:cs="Times New Roman"/>
          <w:sz w:val="24"/>
          <w:szCs w:val="24"/>
        </w:rPr>
        <w:t>v</w:t>
      </w:r>
      <w:r w:rsidR="00AF2102" w:rsidRPr="00FB2E49">
        <w:rPr>
          <w:rFonts w:ascii="Times New Roman" w:hAnsi="Times New Roman" w:cs="Times New Roman"/>
          <w:sz w:val="24"/>
          <w:szCs w:val="24"/>
        </w:rPr>
        <w:t xml:space="preserve"> rámci bežných </w:t>
      </w:r>
      <w:r w:rsidR="007223B5" w:rsidRPr="00FB2E49">
        <w:rPr>
          <w:rFonts w:ascii="Times New Roman" w:hAnsi="Times New Roman" w:cs="Times New Roman"/>
          <w:sz w:val="24"/>
          <w:szCs w:val="24"/>
        </w:rPr>
        <w:t xml:space="preserve">výdavkov v programe 9: Administratíva </w:t>
      </w:r>
      <w:r w:rsidR="00FB2E49">
        <w:rPr>
          <w:rFonts w:ascii="Times New Roman" w:hAnsi="Times New Roman" w:cs="Times New Roman"/>
          <w:sz w:val="24"/>
          <w:szCs w:val="24"/>
        </w:rPr>
        <w:t xml:space="preserve"> v rámci  podpoložiek 633 004 – Prevádzkové stroje, prístroje a zariadenia </w:t>
      </w:r>
      <w:r w:rsidR="00FB2E49">
        <w:rPr>
          <w:rFonts w:ascii="Times New Roman" w:hAnsi="Times New Roman" w:cs="Times New Roman"/>
          <w:sz w:val="24"/>
          <w:szCs w:val="24"/>
        </w:rPr>
        <w:lastRenderedPageBreak/>
        <w:t>zvýšiť o </w:t>
      </w:r>
      <w:r w:rsidR="009A3995">
        <w:rPr>
          <w:rFonts w:ascii="Times New Roman" w:hAnsi="Times New Roman" w:cs="Times New Roman"/>
          <w:sz w:val="24"/>
          <w:szCs w:val="24"/>
        </w:rPr>
        <w:t>37</w:t>
      </w:r>
      <w:r w:rsidR="00FB2E49">
        <w:rPr>
          <w:rFonts w:ascii="Times New Roman" w:hAnsi="Times New Roman" w:cs="Times New Roman"/>
          <w:sz w:val="24"/>
          <w:szCs w:val="24"/>
        </w:rPr>
        <w:t>0,00 € z dôvodu nákupu dvojplatničky (výmena za nefunkčný sporák)</w:t>
      </w:r>
      <w:r w:rsidR="009A3995">
        <w:rPr>
          <w:rFonts w:ascii="Times New Roman" w:hAnsi="Times New Roman" w:cs="Times New Roman"/>
          <w:sz w:val="24"/>
          <w:szCs w:val="24"/>
        </w:rPr>
        <w:t>,</w:t>
      </w:r>
      <w:r w:rsidR="00FB2E49">
        <w:rPr>
          <w:rFonts w:ascii="Times New Roman" w:hAnsi="Times New Roman" w:cs="Times New Roman"/>
          <w:sz w:val="24"/>
          <w:szCs w:val="24"/>
        </w:rPr>
        <w:t> zámkov</w:t>
      </w:r>
      <w:r w:rsidR="009A3995">
        <w:rPr>
          <w:rFonts w:ascii="Times New Roman" w:hAnsi="Times New Roman" w:cs="Times New Roman"/>
          <w:sz w:val="24"/>
          <w:szCs w:val="24"/>
        </w:rPr>
        <w:t xml:space="preserve"> a pod.</w:t>
      </w:r>
      <w:r w:rsidR="00FB2E49">
        <w:rPr>
          <w:rFonts w:ascii="Times New Roman" w:hAnsi="Times New Roman" w:cs="Times New Roman"/>
          <w:sz w:val="24"/>
          <w:szCs w:val="24"/>
        </w:rPr>
        <w:t xml:space="preserve">, na podpoložke 635006 Rutinná a štandardná údržba </w:t>
      </w:r>
      <w:r w:rsidR="007223B5" w:rsidRPr="00FB2E49">
        <w:rPr>
          <w:rFonts w:ascii="Times New Roman" w:hAnsi="Times New Roman" w:cs="Times New Roman"/>
          <w:sz w:val="24"/>
          <w:szCs w:val="24"/>
        </w:rPr>
        <w:t>zvýšenie</w:t>
      </w:r>
      <w:r w:rsidR="00E74FCD">
        <w:rPr>
          <w:rFonts w:ascii="Times New Roman" w:hAnsi="Times New Roman" w:cs="Times New Roman"/>
          <w:sz w:val="24"/>
          <w:szCs w:val="24"/>
        </w:rPr>
        <w:t xml:space="preserve"> o 100,00 € z dôvodu  prečerpania rozpočtu, </w:t>
      </w:r>
      <w:r w:rsidR="007223B5" w:rsidRPr="00FB2E49">
        <w:rPr>
          <w:rFonts w:ascii="Times New Roman" w:hAnsi="Times New Roman" w:cs="Times New Roman"/>
          <w:sz w:val="24"/>
          <w:szCs w:val="24"/>
        </w:rPr>
        <w:t xml:space="preserve">dofinancovanie </w:t>
      </w:r>
      <w:r w:rsidR="00E74FCD">
        <w:rPr>
          <w:rFonts w:ascii="Times New Roman" w:hAnsi="Times New Roman" w:cs="Times New Roman"/>
          <w:sz w:val="24"/>
          <w:szCs w:val="24"/>
        </w:rPr>
        <w:t>podpoložky 637014 Stravovanie</w:t>
      </w:r>
      <w:r w:rsidR="007223B5" w:rsidRPr="00FB2E49">
        <w:rPr>
          <w:rFonts w:ascii="Times New Roman" w:hAnsi="Times New Roman" w:cs="Times New Roman"/>
          <w:sz w:val="24"/>
          <w:szCs w:val="24"/>
        </w:rPr>
        <w:t xml:space="preserve"> </w:t>
      </w:r>
      <w:r w:rsidR="00E74FCD">
        <w:rPr>
          <w:rFonts w:ascii="Times New Roman" w:hAnsi="Times New Roman" w:cs="Times New Roman"/>
          <w:sz w:val="24"/>
          <w:szCs w:val="24"/>
        </w:rPr>
        <w:t xml:space="preserve">o sumu 900,00 € </w:t>
      </w:r>
      <w:r w:rsidR="007223B5" w:rsidRPr="00FB2E49">
        <w:rPr>
          <w:rFonts w:ascii="Times New Roman" w:hAnsi="Times New Roman" w:cs="Times New Roman"/>
          <w:sz w:val="24"/>
          <w:szCs w:val="24"/>
        </w:rPr>
        <w:t xml:space="preserve">z dôvodu, že stravné lístky sú poskytované </w:t>
      </w:r>
      <w:r w:rsidR="00E74FCD">
        <w:rPr>
          <w:rFonts w:ascii="Times New Roman" w:hAnsi="Times New Roman" w:cs="Times New Roman"/>
          <w:sz w:val="24"/>
          <w:szCs w:val="24"/>
        </w:rPr>
        <w:t>duplicitne aj zastupujúcim pracovníkom pri dlhodobých práceneschopnostiach. Na podpoložke 637031 Pokuty a penále navrhujeme úpravu rozpočtu na skutočné čerpanie</w:t>
      </w:r>
      <w:r w:rsidR="00494AEA">
        <w:rPr>
          <w:rFonts w:ascii="Times New Roman" w:hAnsi="Times New Roman" w:cs="Times New Roman"/>
          <w:sz w:val="24"/>
          <w:szCs w:val="24"/>
        </w:rPr>
        <w:t xml:space="preserve"> </w:t>
      </w:r>
      <w:r w:rsidR="00E74FCD">
        <w:rPr>
          <w:rFonts w:ascii="Times New Roman" w:hAnsi="Times New Roman" w:cs="Times New Roman"/>
          <w:sz w:val="24"/>
          <w:szCs w:val="24"/>
        </w:rPr>
        <w:t>o 10,00 €.</w:t>
      </w:r>
    </w:p>
    <w:p w:rsidR="00E74FCD" w:rsidRDefault="00E74FCD" w:rsidP="007223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programe :</w:t>
      </w:r>
      <w:r w:rsidRPr="00C51495">
        <w:rPr>
          <w:rFonts w:ascii="Times New Roman" w:hAnsi="Times New Roman" w:cs="Times New Roman"/>
          <w:sz w:val="24"/>
          <w:szCs w:val="24"/>
        </w:rPr>
        <w:t xml:space="preserve"> Interné služby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1495">
        <w:rPr>
          <w:rFonts w:ascii="Times New Roman" w:hAnsi="Times New Roman" w:cs="Times New Roman"/>
          <w:i/>
          <w:sz w:val="24"/>
          <w:szCs w:val="24"/>
        </w:rPr>
        <w:t>Podprogram 2.4: Hospodárska správa, údržba a prevádzka budov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51495">
        <w:rPr>
          <w:rFonts w:ascii="Times New Roman" w:hAnsi="Times New Roman" w:cs="Times New Roman"/>
          <w:sz w:val="24"/>
          <w:szCs w:val="24"/>
        </w:rPr>
        <w:t>na podpoložke</w:t>
      </w:r>
      <w:r>
        <w:rPr>
          <w:rFonts w:ascii="Times New Roman" w:hAnsi="Times New Roman" w:cs="Times New Roman"/>
          <w:sz w:val="24"/>
          <w:szCs w:val="24"/>
        </w:rPr>
        <w:t xml:space="preserve"> 635004 Rutinná a štandardná údržba</w:t>
      </w:r>
      <w:r w:rsidR="00923A51">
        <w:rPr>
          <w:rFonts w:ascii="Times New Roman" w:hAnsi="Times New Roman" w:cs="Times New Roman"/>
          <w:sz w:val="24"/>
          <w:szCs w:val="24"/>
        </w:rPr>
        <w:t xml:space="preserve"> prevádzkových strojov</w:t>
      </w:r>
      <w:r w:rsidR="00494AEA">
        <w:rPr>
          <w:rFonts w:ascii="Times New Roman" w:hAnsi="Times New Roman" w:cs="Times New Roman"/>
          <w:sz w:val="24"/>
          <w:szCs w:val="24"/>
        </w:rPr>
        <w:t>, zvýšenie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3A51">
        <w:rPr>
          <w:rFonts w:ascii="Times New Roman" w:hAnsi="Times New Roman" w:cs="Times New Roman"/>
          <w:sz w:val="24"/>
          <w:szCs w:val="24"/>
        </w:rPr>
        <w:t xml:space="preserve">o sumu </w:t>
      </w:r>
      <w:r w:rsidR="008F5248">
        <w:rPr>
          <w:rFonts w:ascii="Times New Roman" w:hAnsi="Times New Roman" w:cs="Times New Roman"/>
          <w:sz w:val="24"/>
          <w:szCs w:val="24"/>
        </w:rPr>
        <w:t>5</w:t>
      </w:r>
      <w:r w:rsidR="00923A51">
        <w:rPr>
          <w:rFonts w:ascii="Times New Roman" w:hAnsi="Times New Roman" w:cs="Times New Roman"/>
          <w:sz w:val="24"/>
          <w:szCs w:val="24"/>
        </w:rPr>
        <w:t xml:space="preserve">0,00 € z dôvodu </w:t>
      </w:r>
      <w:r w:rsidR="008F5248">
        <w:rPr>
          <w:rFonts w:ascii="Times New Roman" w:hAnsi="Times New Roman" w:cs="Times New Roman"/>
          <w:sz w:val="24"/>
          <w:szCs w:val="24"/>
        </w:rPr>
        <w:t>potreby opravy prietokového ohrievača vody.</w:t>
      </w:r>
    </w:p>
    <w:p w:rsidR="008F5248" w:rsidRPr="008F5248" w:rsidRDefault="008F5248" w:rsidP="007223B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tom istom programe</w:t>
      </w:r>
      <w:r w:rsidRPr="008F5248">
        <w:rPr>
          <w:rFonts w:ascii="Times New Roman" w:hAnsi="Times New Roman" w:cs="Times New Roman"/>
          <w:sz w:val="24"/>
          <w:szCs w:val="24"/>
        </w:rPr>
        <w:t xml:space="preserve">,  </w:t>
      </w:r>
      <w:r w:rsidRPr="008F5248">
        <w:rPr>
          <w:rFonts w:ascii="Times New Roman" w:hAnsi="Times New Roman" w:cs="Times New Roman"/>
          <w:i/>
          <w:sz w:val="24"/>
          <w:szCs w:val="24"/>
        </w:rPr>
        <w:t>Podprogram 2.6: Obecný informačný systém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 podpoložke 633013 Softvér navrhujeme upraviť rozpočet do výšky skutočného čerpania</w:t>
      </w:r>
      <w:r w:rsidR="00494AEA">
        <w:rPr>
          <w:rFonts w:ascii="Times New Roman" w:hAnsi="Times New Roman" w:cs="Times New Roman"/>
          <w:sz w:val="24"/>
          <w:szCs w:val="24"/>
        </w:rPr>
        <w:t>, t. j. o 30,00 €.</w:t>
      </w:r>
    </w:p>
    <w:p w:rsidR="00AF2102" w:rsidRDefault="00AF2102" w:rsidP="00AF2102">
      <w:pPr>
        <w:jc w:val="both"/>
      </w:pPr>
    </w:p>
    <w:p w:rsidR="00AF2102" w:rsidRDefault="00AF2102" w:rsidP="00AF2102">
      <w:pPr>
        <w:jc w:val="both"/>
      </w:pPr>
    </w:p>
    <w:p w:rsidR="00AF2102" w:rsidRDefault="00AF2102" w:rsidP="00AF2102">
      <w:pPr>
        <w:jc w:val="both"/>
        <w:rPr>
          <w:rFonts w:ascii="Times New Roman" w:hAnsi="Times New Roman" w:cs="Times New Roman"/>
          <w:sz w:val="20"/>
          <w:szCs w:val="20"/>
        </w:rPr>
      </w:pPr>
      <w:r>
        <w:t xml:space="preserve">  </w:t>
      </w:r>
      <w:r w:rsidRPr="00E8353C">
        <w:rPr>
          <w:rFonts w:ascii="Times New Roman" w:hAnsi="Times New Roman" w:cs="Times New Roman"/>
          <w:sz w:val="20"/>
          <w:szCs w:val="20"/>
        </w:rPr>
        <w:t xml:space="preserve">Spracovala. Ing. </w:t>
      </w:r>
      <w:r w:rsidR="008F5248">
        <w:rPr>
          <w:rFonts w:ascii="Times New Roman" w:hAnsi="Times New Roman" w:cs="Times New Roman"/>
          <w:sz w:val="20"/>
          <w:szCs w:val="20"/>
        </w:rPr>
        <w:t>Viera Háberová</w:t>
      </w: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F5248" w:rsidRPr="00E8353C" w:rsidRDefault="008F5248" w:rsidP="00AF210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F5248" w:rsidRPr="00E8353C" w:rsidSect="006D6D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199" w:rsidRDefault="00003199" w:rsidP="00942A63">
      <w:pPr>
        <w:spacing w:after="0" w:line="240" w:lineRule="auto"/>
      </w:pPr>
      <w:r>
        <w:separator/>
      </w:r>
    </w:p>
  </w:endnote>
  <w:endnote w:type="continuationSeparator" w:id="0">
    <w:p w:rsidR="00003199" w:rsidRDefault="00003199" w:rsidP="0094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449204"/>
      <w:docPartObj>
        <w:docPartGallery w:val="Page Numbers (Bottom of Page)"/>
        <w:docPartUnique/>
      </w:docPartObj>
    </w:sdtPr>
    <w:sdtContent>
      <w:p w:rsidR="00FB2E49" w:rsidRDefault="00EA7035">
        <w:pPr>
          <w:pStyle w:val="Zpat"/>
          <w:jc w:val="right"/>
        </w:pPr>
        <w:fldSimple w:instr=" PAGE   \* MERGEFORMAT ">
          <w:r w:rsidR="003011D1">
            <w:rPr>
              <w:noProof/>
            </w:rPr>
            <w:t>1</w:t>
          </w:r>
        </w:fldSimple>
      </w:p>
    </w:sdtContent>
  </w:sdt>
  <w:p w:rsidR="00FB2E49" w:rsidRDefault="00FB2E4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199" w:rsidRDefault="00003199" w:rsidP="00942A63">
      <w:pPr>
        <w:spacing w:after="0" w:line="240" w:lineRule="auto"/>
      </w:pPr>
      <w:r>
        <w:separator/>
      </w:r>
    </w:p>
  </w:footnote>
  <w:footnote w:type="continuationSeparator" w:id="0">
    <w:p w:rsidR="00003199" w:rsidRDefault="00003199" w:rsidP="00942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D25C9"/>
    <w:multiLevelType w:val="hybridMultilevel"/>
    <w:tmpl w:val="334A0A36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CB8"/>
    <w:rsid w:val="00003199"/>
    <w:rsid w:val="000807FA"/>
    <w:rsid w:val="000B6C89"/>
    <w:rsid w:val="001B0F98"/>
    <w:rsid w:val="001F6DD5"/>
    <w:rsid w:val="002928A2"/>
    <w:rsid w:val="003011D1"/>
    <w:rsid w:val="003570A7"/>
    <w:rsid w:val="003909BC"/>
    <w:rsid w:val="00396EA7"/>
    <w:rsid w:val="003E55D9"/>
    <w:rsid w:val="004751C2"/>
    <w:rsid w:val="00494AEA"/>
    <w:rsid w:val="00535056"/>
    <w:rsid w:val="00535D6D"/>
    <w:rsid w:val="005B5D22"/>
    <w:rsid w:val="005D118C"/>
    <w:rsid w:val="00656779"/>
    <w:rsid w:val="006D6D05"/>
    <w:rsid w:val="00700CEA"/>
    <w:rsid w:val="007223B5"/>
    <w:rsid w:val="00755605"/>
    <w:rsid w:val="00774791"/>
    <w:rsid w:val="0077638F"/>
    <w:rsid w:val="00796ECA"/>
    <w:rsid w:val="007A45CE"/>
    <w:rsid w:val="007E7946"/>
    <w:rsid w:val="007F0746"/>
    <w:rsid w:val="008C310A"/>
    <w:rsid w:val="008F5248"/>
    <w:rsid w:val="00923A51"/>
    <w:rsid w:val="00942A63"/>
    <w:rsid w:val="009A3995"/>
    <w:rsid w:val="009A6300"/>
    <w:rsid w:val="009B3E93"/>
    <w:rsid w:val="00A033F4"/>
    <w:rsid w:val="00A47A02"/>
    <w:rsid w:val="00A97A89"/>
    <w:rsid w:val="00AF2102"/>
    <w:rsid w:val="00B04B67"/>
    <w:rsid w:val="00B6285A"/>
    <w:rsid w:val="00BC01C2"/>
    <w:rsid w:val="00C040EF"/>
    <w:rsid w:val="00C51495"/>
    <w:rsid w:val="00C57458"/>
    <w:rsid w:val="00C770B9"/>
    <w:rsid w:val="00C9590B"/>
    <w:rsid w:val="00CB4AC8"/>
    <w:rsid w:val="00D7186A"/>
    <w:rsid w:val="00D95D9C"/>
    <w:rsid w:val="00DD30F5"/>
    <w:rsid w:val="00E06FBE"/>
    <w:rsid w:val="00E60583"/>
    <w:rsid w:val="00E74FCD"/>
    <w:rsid w:val="00EA528A"/>
    <w:rsid w:val="00EA7035"/>
    <w:rsid w:val="00EB7CB8"/>
    <w:rsid w:val="00F358AD"/>
    <w:rsid w:val="00FB2E49"/>
    <w:rsid w:val="00FF59CC"/>
    <w:rsid w:val="00FF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7C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B7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B7C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B7C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EB7CB8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EB7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94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68D6D-B578-4F87-ABC8-59E29D25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lspisakova</cp:lastModifiedBy>
  <cp:revision>2</cp:revision>
  <cp:lastPrinted>2018-12-17T14:10:00Z</cp:lastPrinted>
  <dcterms:created xsi:type="dcterms:W3CDTF">2018-12-17T15:05:00Z</dcterms:created>
  <dcterms:modified xsi:type="dcterms:W3CDTF">2018-12-17T15:05:00Z</dcterms:modified>
</cp:coreProperties>
</file>