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104" w:rsidRDefault="004B5104">
      <w:pPr>
        <w:pStyle w:val="Vchodzie"/>
        <w:jc w:val="center"/>
      </w:pPr>
      <w:r>
        <w:rPr>
          <w:b/>
          <w:bCs/>
          <w:i/>
          <w:iCs/>
          <w:sz w:val="28"/>
          <w:szCs w:val="28"/>
        </w:rPr>
        <w:t>Informatívna</w:t>
      </w:r>
      <w:r>
        <w:rPr>
          <w:rFonts w:cs="Times New Roman"/>
          <w:b/>
          <w:bCs/>
          <w:i/>
          <w:iCs/>
          <w:sz w:val="28"/>
          <w:szCs w:val="28"/>
        </w:rPr>
        <w:t xml:space="preserve"> </w:t>
      </w:r>
      <w:r>
        <w:rPr>
          <w:b/>
          <w:bCs/>
          <w:i/>
          <w:iCs/>
          <w:sz w:val="28"/>
          <w:szCs w:val="28"/>
        </w:rPr>
        <w:t>správa</w:t>
      </w:r>
      <w:r>
        <w:rPr>
          <w:rFonts w:cs="Times New Roman"/>
          <w:b/>
          <w:bCs/>
          <w:i/>
          <w:iCs/>
          <w:sz w:val="28"/>
          <w:szCs w:val="28"/>
        </w:rPr>
        <w:t xml:space="preserve"> </w:t>
      </w:r>
    </w:p>
    <w:p w:rsidR="004B5104" w:rsidRDefault="004B5104">
      <w:pPr>
        <w:pStyle w:val="Vchodzie"/>
        <w:jc w:val="center"/>
      </w:pPr>
      <w:r>
        <w:rPr>
          <w:b/>
          <w:i/>
          <w:sz w:val="26"/>
          <w:szCs w:val="26"/>
          <w:lang w:eastAsia="cs-CZ"/>
        </w:rPr>
        <w:t>z</w:t>
      </w:r>
      <w:r>
        <w:rPr>
          <w:rFonts w:cs="Times New Roman"/>
          <w:b/>
          <w:i/>
          <w:sz w:val="26"/>
          <w:szCs w:val="26"/>
          <w:lang w:eastAsia="cs-CZ"/>
        </w:rPr>
        <w:t xml:space="preserve">   XV. rokovanie Mestského zastupiteľstva v Košiciach</w:t>
      </w:r>
    </w:p>
    <w:p w:rsidR="004B5104" w:rsidRDefault="004B5104">
      <w:pPr>
        <w:pStyle w:val="Vchodzie"/>
        <w:jc w:val="center"/>
      </w:pPr>
      <w:r>
        <w:rPr>
          <w:rFonts w:cs="Times New Roman"/>
          <w:b/>
          <w:i/>
          <w:sz w:val="26"/>
          <w:szCs w:val="26"/>
          <w:lang w:eastAsia="cs-CZ"/>
        </w:rPr>
        <w:t xml:space="preserve"> zo dňa 11. februára 2013</w:t>
      </w:r>
      <w:r>
        <w:rPr>
          <w:rFonts w:cs="Times New Roman"/>
          <w:b/>
          <w:i/>
          <w:sz w:val="26"/>
          <w:szCs w:val="26"/>
          <w:lang w:eastAsia="cs-CZ"/>
        </w:rPr>
        <w:br/>
      </w:r>
    </w:p>
    <w:p w:rsidR="004B5104" w:rsidRDefault="004B5104">
      <w:pPr>
        <w:pStyle w:val="Vchodzie"/>
        <w:widowControl/>
        <w:jc w:val="center"/>
      </w:pPr>
    </w:p>
    <w:p w:rsidR="004B5104" w:rsidRDefault="004B5104">
      <w:pPr>
        <w:pStyle w:val="Vchodzie"/>
        <w:widowControl/>
      </w:pPr>
      <w:r>
        <w:rPr>
          <w:rFonts w:cs="Times New Roman"/>
          <w:b/>
          <w:i/>
          <w:iCs/>
        </w:rPr>
        <w:t>Projekt výstavby bytových domov Obytného súboru Košice – Ťahanovce IV. a V.</w:t>
      </w:r>
      <w:r>
        <w:rPr>
          <w:rFonts w:cs="Times New Roman"/>
          <w:b/>
          <w:i/>
          <w:iCs/>
        </w:rPr>
        <w:br/>
        <w:t>–  majetkovoprávne usporiadanie pozemkov</w:t>
      </w:r>
    </w:p>
    <w:p w:rsidR="004B5104" w:rsidRDefault="004B5104">
      <w:pPr>
        <w:pStyle w:val="Vchodzie"/>
        <w:widowControl/>
      </w:pPr>
      <w:r>
        <w:rPr>
          <w:rFonts w:cs="Times New Roman"/>
        </w:rPr>
        <w:t>MZ schválilo :</w:t>
      </w:r>
    </w:p>
    <w:p w:rsidR="004B5104" w:rsidRDefault="004B5104">
      <w:pPr>
        <w:pStyle w:val="ListParagraph"/>
        <w:numPr>
          <w:ilvl w:val="0"/>
          <w:numId w:val="2"/>
        </w:numPr>
        <w:spacing w:after="120"/>
        <w:ind w:left="284" w:hanging="284"/>
        <w:jc w:val="both"/>
      </w:pPr>
      <w:r>
        <w:rPr>
          <w:rFonts w:ascii="Times New Roman" w:hAnsi="Times New Roman"/>
          <w:sz w:val="24"/>
          <w:szCs w:val="24"/>
        </w:rPr>
        <w:t>zámer spoločnosti TH STAVBYT s.r.o. (ďalej len „investor“) zrealizovať bytovú výstavbu na území lokality Ťahanovce IV. a V. a s tým spojené majetkovoprávne usporiadanie,</w:t>
      </w:r>
    </w:p>
    <w:p w:rsidR="004B5104" w:rsidRDefault="004B5104">
      <w:pPr>
        <w:pStyle w:val="ListParagraph"/>
        <w:numPr>
          <w:ilvl w:val="0"/>
          <w:numId w:val="2"/>
        </w:numPr>
        <w:spacing w:after="120"/>
        <w:ind w:left="284" w:hanging="284"/>
        <w:jc w:val="both"/>
      </w:pPr>
      <w:r>
        <w:rPr>
          <w:rFonts w:ascii="Times New Roman" w:hAnsi="Times New Roman"/>
          <w:sz w:val="24"/>
          <w:szCs w:val="24"/>
        </w:rPr>
        <w:t>zmluvu o budúcej kúpnej zmluve, o budúcej zámennej zmluve, o budúcej nájomnej zmluve a o zriadení predkupného práva k nehnuteľnostiam a o spolupráci v predloženom znení, ktorá sa uzatvorí medzi Mestom Košice a investorom (ďalej len „zmluva o budúcej zmluve“),</w:t>
      </w:r>
    </w:p>
    <w:p w:rsidR="004B5104" w:rsidRDefault="004B5104">
      <w:pPr>
        <w:pStyle w:val="ListParagraph"/>
        <w:numPr>
          <w:ilvl w:val="0"/>
          <w:numId w:val="2"/>
        </w:numPr>
        <w:spacing w:after="120"/>
        <w:ind w:left="284" w:hanging="284"/>
        <w:jc w:val="both"/>
      </w:pPr>
      <w:r>
        <w:rPr>
          <w:rFonts w:ascii="Times New Roman" w:hAnsi="Times New Roman"/>
          <w:sz w:val="24"/>
          <w:szCs w:val="24"/>
        </w:rPr>
        <w:t>zriadenie predkupného práva pre investora za podmienok uvedených v zmluve o budúcej zmluve,</w:t>
      </w:r>
    </w:p>
    <w:p w:rsidR="004B5104" w:rsidRDefault="004B5104">
      <w:pPr>
        <w:pStyle w:val="ListParagraph"/>
        <w:numPr>
          <w:ilvl w:val="0"/>
          <w:numId w:val="2"/>
        </w:numPr>
        <w:spacing w:after="120"/>
        <w:ind w:left="284" w:hanging="284"/>
        <w:jc w:val="both"/>
      </w:pPr>
      <w:r>
        <w:rPr>
          <w:rFonts w:ascii="Times New Roman" w:hAnsi="Times New Roman"/>
          <w:sz w:val="24"/>
          <w:szCs w:val="24"/>
        </w:rPr>
        <w:t>prevod vlastníctva, zámenu a dlhodobý nájom v zmysle zmluvy o budúcej zmluve vo vzťahu k pozemkom, ktoré sú uvedené v prílohe tejto zmluvy, ako dôvod hodný osobitného zreteľa podľa § 9a ods. 8 písm. e)  a ods. 9 písm. c) zákona č. 138/1991 Zb. o majetku obcí v znení neskorších predpisov z dôvodu, že aktuálna rozdrobenosť pozemkov, príliš mnoho spoluvlastníkov, ako aj vznesené reštitučné nároky znemožňujú mestu efektívne nakladanie s týmito pozemkami; zároveň zámer celkového majetkovoprávneho usporiadania pozemkov investorom má následne viesť k jeho využitiu pre výstavbu bytových domov. Vzhľadom na projekt, ako vyplýva zo zmluvy o budúcej zmluve, nie je účelné dávať dotknuté pozemky pred majetkovoprávnym usporiadaním do užívania rôznym osobám; predovšetkým však investor už na dotknutom území aj nadobudol do svojho výlučného vlastníctva, resp. spoluvlastníctva niektoré príslušné pozemky.</w:t>
      </w:r>
    </w:p>
    <w:p w:rsidR="004B5104" w:rsidRDefault="004B5104">
      <w:pPr>
        <w:pStyle w:val="ListParagraph"/>
        <w:spacing w:after="120"/>
        <w:ind w:left="284" w:hanging="284"/>
        <w:jc w:val="both"/>
      </w:pPr>
    </w:p>
    <w:p w:rsidR="004B5104" w:rsidRDefault="004B5104">
      <w:pPr>
        <w:pStyle w:val="Vchodzie"/>
        <w:widowControl/>
      </w:pPr>
      <w:r>
        <w:rPr>
          <w:rFonts w:cs="Times New Roman"/>
          <w:b/>
          <w:i/>
          <w:iCs/>
        </w:rPr>
        <w:t>Informácia primátora mesta o svojej činnosti od XIV. rokovania MZ</w:t>
      </w:r>
    </w:p>
    <w:p w:rsidR="004B5104" w:rsidRDefault="004B5104">
      <w:pPr>
        <w:pStyle w:val="Vchodzie"/>
        <w:widowControl/>
        <w:tabs>
          <w:tab w:val="left" w:pos="567"/>
          <w:tab w:val="left" w:pos="2552"/>
          <w:tab w:val="left" w:pos="3119"/>
        </w:tabs>
        <w:jc w:val="both"/>
      </w:pPr>
      <w:r>
        <w:rPr>
          <w:rFonts w:cs="Times New Roman"/>
        </w:rPr>
        <w:t>MZ vzalo na vedomie informáciu primátora mesta o svojej činnosti od XIV. rokovania MZ.</w:t>
      </w:r>
    </w:p>
    <w:p w:rsidR="004B5104" w:rsidRDefault="004B5104">
      <w:pPr>
        <w:pStyle w:val="Vchodzie"/>
        <w:widowControl/>
        <w:tabs>
          <w:tab w:val="left" w:pos="567"/>
          <w:tab w:val="left" w:pos="2552"/>
          <w:tab w:val="left" w:pos="3119"/>
        </w:tabs>
        <w:jc w:val="both"/>
      </w:pPr>
    </w:p>
    <w:p w:rsidR="004B5104" w:rsidRDefault="004B5104">
      <w:pPr>
        <w:pStyle w:val="Vchodzie"/>
        <w:widowControl/>
      </w:pPr>
      <w:r>
        <w:rPr>
          <w:rFonts w:cs="Times New Roman"/>
          <w:b/>
          <w:i/>
          <w:iCs/>
        </w:rPr>
        <w:t>Správa o činnosti Útvaru hlavného kontrolóra mesta Košice</w:t>
      </w:r>
    </w:p>
    <w:p w:rsidR="004B5104" w:rsidRDefault="004B5104">
      <w:pPr>
        <w:pStyle w:val="Vchodzie"/>
        <w:widowControl/>
        <w:spacing w:line="276" w:lineRule="auto"/>
      </w:pPr>
      <w:r>
        <w:rPr>
          <w:rFonts w:cs="Times New Roman"/>
          <w:bCs/>
        </w:rPr>
        <w:t>MZ vzalo na vedomie</w:t>
      </w:r>
    </w:p>
    <w:p w:rsidR="004B5104" w:rsidRDefault="004B5104">
      <w:pPr>
        <w:pStyle w:val="Vchodzie"/>
        <w:widowControl/>
        <w:tabs>
          <w:tab w:val="left" w:pos="360"/>
        </w:tabs>
        <w:jc w:val="both"/>
      </w:pPr>
      <w:r>
        <w:rPr>
          <w:rFonts w:cs="Times New Roman"/>
        </w:rPr>
        <w:t>1. Správu o činnosti hlavného kontrolóra mesta Košice od XIV. rokovania MZ v Košiciach.</w:t>
      </w:r>
    </w:p>
    <w:p w:rsidR="004B5104" w:rsidRDefault="004B5104">
      <w:pPr>
        <w:pStyle w:val="Vchodzie"/>
        <w:widowControl/>
        <w:tabs>
          <w:tab w:val="left" w:pos="360"/>
        </w:tabs>
        <w:jc w:val="both"/>
      </w:pPr>
      <w:r>
        <w:rPr>
          <w:rFonts w:cs="Times New Roman"/>
        </w:rPr>
        <w:t>2. Správu o kontrolnej činnosti hlavného kontrolóra mesta Košice za rok 2012.</w:t>
      </w:r>
    </w:p>
    <w:p w:rsidR="004B5104" w:rsidRDefault="004B5104">
      <w:pPr>
        <w:pStyle w:val="Vchodzie"/>
        <w:widowControl/>
        <w:tabs>
          <w:tab w:val="left" w:pos="360"/>
        </w:tabs>
        <w:jc w:val="both"/>
      </w:pPr>
      <w:r>
        <w:rPr>
          <w:rFonts w:cs="Times New Roman"/>
        </w:rPr>
        <w:t>3. Správu o výsledkoch kontrol v subjektoch :</w:t>
      </w:r>
    </w:p>
    <w:p w:rsidR="004B5104" w:rsidRDefault="004B5104">
      <w:pPr>
        <w:pStyle w:val="Vchodzie"/>
        <w:widowControl/>
      </w:pPr>
      <w:r>
        <w:rPr>
          <w:rFonts w:cs="Times New Roman"/>
        </w:rPr>
        <w:t xml:space="preserve">    Magistrát mesta Košice, Tr. SNP 48/A, Košice,</w:t>
      </w:r>
    </w:p>
    <w:p w:rsidR="004B5104" w:rsidRDefault="004B5104">
      <w:pPr>
        <w:pStyle w:val="Vchodzie"/>
        <w:widowControl/>
      </w:pPr>
      <w:r>
        <w:rPr>
          <w:rFonts w:cs="Times New Roman"/>
        </w:rPr>
        <w:t xml:space="preserve">    Základná škola Masarykova 19/A, Košice.</w:t>
      </w:r>
    </w:p>
    <w:p w:rsidR="004B5104" w:rsidRDefault="004B5104">
      <w:pPr>
        <w:pStyle w:val="Vchodzie"/>
        <w:widowControl/>
      </w:pPr>
      <w:r>
        <w:rPr>
          <w:rFonts w:cs="Times New Roman"/>
        </w:rPr>
        <w:t xml:space="preserve">4. Stanovisko hlavného kontrolóra mesta Košice k Návrhu programového rozpočtu mesta Košice </w:t>
      </w:r>
    </w:p>
    <w:p w:rsidR="004B5104" w:rsidRDefault="004B5104">
      <w:pPr>
        <w:pStyle w:val="Vchodzie"/>
        <w:widowControl/>
      </w:pPr>
      <w:r>
        <w:rPr>
          <w:rFonts w:cs="Times New Roman"/>
        </w:rPr>
        <w:t xml:space="preserve">    na roky 2013 - 2015.</w:t>
      </w:r>
    </w:p>
    <w:p w:rsidR="004B5104" w:rsidRDefault="004B5104">
      <w:pPr>
        <w:pStyle w:val="Vchodzie"/>
        <w:widowControl/>
        <w:jc w:val="both"/>
      </w:pPr>
    </w:p>
    <w:p w:rsidR="004B5104" w:rsidRDefault="004B5104">
      <w:pPr>
        <w:pStyle w:val="Vchodzie"/>
        <w:widowControl/>
      </w:pPr>
      <w:r>
        <w:rPr>
          <w:rFonts w:cs="Times New Roman"/>
          <w:b/>
          <w:i/>
          <w:iCs/>
        </w:rPr>
        <w:t xml:space="preserve">Správa povereného zastupovaním náčelníka Mestskej polície Košice o činnosti MsP Košice </w:t>
      </w:r>
    </w:p>
    <w:p w:rsidR="004B5104" w:rsidRDefault="004B5104">
      <w:pPr>
        <w:pStyle w:val="Vchodzie"/>
        <w:widowControl/>
      </w:pPr>
      <w:r>
        <w:rPr>
          <w:rFonts w:cs="Times New Roman"/>
          <w:b/>
          <w:i/>
          <w:iCs/>
        </w:rPr>
        <w:t>od 01.07.2012 do 31.12.2012</w:t>
      </w:r>
    </w:p>
    <w:p w:rsidR="004B5104" w:rsidRDefault="004B5104">
      <w:pPr>
        <w:pStyle w:val="Vchodzie"/>
        <w:widowControl/>
      </w:pPr>
      <w:r>
        <w:rPr>
          <w:rFonts w:cs="Times New Roman"/>
        </w:rPr>
        <w:t>MZ vzalo na vedomie Správu povereného zastupovaním náčelníka Mestskej polície Košice o činnosti MsP Košice od 01.07.2012 do 31.12.2012.</w:t>
      </w:r>
    </w:p>
    <w:p w:rsidR="004B5104" w:rsidRDefault="004B5104">
      <w:pPr>
        <w:pStyle w:val="Vchodzie"/>
        <w:widowControl/>
        <w:jc w:val="both"/>
      </w:pPr>
    </w:p>
    <w:p w:rsidR="004B5104" w:rsidRDefault="004B5104">
      <w:pPr>
        <w:pStyle w:val="Vchodzie"/>
        <w:widowControl/>
      </w:pPr>
      <w:r>
        <w:rPr>
          <w:rFonts w:cs="Times New Roman"/>
          <w:b/>
          <w:bCs/>
          <w:i/>
          <w:iCs/>
        </w:rPr>
        <w:t>Správa o odpovediach na interpelácie a dopyty poslancov mestského zastupiteľstva, ktoré boli prednesené na XIV. rokovaní MZ v Košiciach dňa 10.12.2012</w:t>
      </w:r>
    </w:p>
    <w:p w:rsidR="004B5104" w:rsidRDefault="004B5104">
      <w:pPr>
        <w:pStyle w:val="Vchodzie"/>
        <w:widowControl/>
      </w:pPr>
      <w:r>
        <w:rPr>
          <w:rFonts w:cs="Times New Roman"/>
        </w:rPr>
        <w:t>MZ vzalo na vedomie Správu o odpovediach na interpelácie a dopyty poslancov mestského zastupiteľstva, ktoré boli prednesené na XIV. rokovaní MZ v Košiciach dňa 10.12.2012.</w:t>
      </w:r>
    </w:p>
    <w:p w:rsidR="004B5104" w:rsidRDefault="004B5104">
      <w:pPr>
        <w:pStyle w:val="Vchodzie"/>
        <w:widowControl/>
      </w:pPr>
    </w:p>
    <w:p w:rsidR="004B5104" w:rsidRDefault="004B5104">
      <w:pPr>
        <w:pStyle w:val="Vchodzie"/>
        <w:widowControl/>
      </w:pPr>
      <w:r>
        <w:rPr>
          <w:rFonts w:cs="Times New Roman"/>
          <w:b/>
          <w:i/>
          <w:iCs/>
        </w:rPr>
        <w:t>Programový rozpočet mesta Košice na roky 2013 – 2015</w:t>
      </w:r>
    </w:p>
    <w:p w:rsidR="004B5104" w:rsidRDefault="004B5104">
      <w:pPr>
        <w:pStyle w:val="Vchodzie"/>
        <w:widowControl/>
        <w:jc w:val="both"/>
      </w:pPr>
      <w:r>
        <w:rPr>
          <w:rFonts w:cs="Times New Roman"/>
        </w:rPr>
        <w:t>MZ schválilo :</w:t>
      </w:r>
    </w:p>
    <w:p w:rsidR="004B5104" w:rsidRDefault="004B5104">
      <w:pPr>
        <w:pStyle w:val="Vchodzie"/>
        <w:widowControl/>
      </w:pPr>
      <w:r>
        <w:rPr>
          <w:rFonts w:cs="Times New Roman"/>
        </w:rPr>
        <w:t>1.  Programový rozpočet mesta Košice na rok 2013</w:t>
      </w:r>
    </w:p>
    <w:p w:rsidR="004B5104" w:rsidRDefault="004B5104">
      <w:pPr>
        <w:pStyle w:val="Vchodzie"/>
        <w:widowControl/>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                         v €</w:t>
      </w:r>
    </w:p>
    <w:tbl>
      <w:tblPr>
        <w:tblW w:w="0" w:type="auto"/>
        <w:tblInd w:w="-108" w:type="dxa"/>
        <w:tblCellMar>
          <w:left w:w="10" w:type="dxa"/>
          <w:right w:w="10" w:type="dxa"/>
        </w:tblCellMar>
        <w:tblLook w:val="0000"/>
      </w:tblPr>
      <w:tblGrid>
        <w:gridCol w:w="4525"/>
        <w:gridCol w:w="1595"/>
      </w:tblGrid>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bCs/>
              </w:rPr>
              <w:t>Príjmy celkom</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187 288 072</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bCs/>
              </w:rPr>
              <w:t>Výdavky celkom</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187 288 072</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bCs/>
              </w:rPr>
              <w:t xml:space="preserve">Rozdiel  </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0</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p>
        </w:tc>
        <w:tc>
          <w:tcPr>
            <w:tcW w:w="1595" w:type="dxa"/>
            <w:tcMar>
              <w:top w:w="0" w:type="dxa"/>
              <w:left w:w="108" w:type="dxa"/>
              <w:bottom w:w="0" w:type="dxa"/>
              <w:right w:w="108" w:type="dxa"/>
            </w:tcMar>
            <w:vAlign w:val="bottom"/>
          </w:tcPr>
          <w:p w:rsidR="004B5104" w:rsidRDefault="004B5104">
            <w:pPr>
              <w:pStyle w:val="Vchodzie"/>
              <w:widowControl/>
            </w:pP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bCs/>
              </w:rPr>
              <w:t>Bežný rozpočet</w:t>
            </w:r>
          </w:p>
        </w:tc>
        <w:tc>
          <w:tcPr>
            <w:tcW w:w="1595" w:type="dxa"/>
            <w:tcMar>
              <w:top w:w="0" w:type="dxa"/>
              <w:left w:w="108" w:type="dxa"/>
              <w:bottom w:w="0" w:type="dxa"/>
              <w:right w:w="108" w:type="dxa"/>
            </w:tcMar>
            <w:vAlign w:val="bottom"/>
          </w:tcPr>
          <w:p w:rsidR="004B5104" w:rsidRDefault="004B5104">
            <w:pPr>
              <w:pStyle w:val="Vchodzie"/>
              <w:widowControl/>
            </w:pP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rPr>
              <w:t>Príjmy</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125 971 342</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rPr>
              <w:t>Výdavky</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123 730 404</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rPr>
              <w:t>Rozdiel – prebytok</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2 240 938</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p>
        </w:tc>
        <w:tc>
          <w:tcPr>
            <w:tcW w:w="1595" w:type="dxa"/>
            <w:tcMar>
              <w:top w:w="0" w:type="dxa"/>
              <w:left w:w="108" w:type="dxa"/>
              <w:bottom w:w="0" w:type="dxa"/>
              <w:right w:w="108" w:type="dxa"/>
            </w:tcMar>
            <w:vAlign w:val="bottom"/>
          </w:tcPr>
          <w:p w:rsidR="004B5104" w:rsidRDefault="004B5104">
            <w:pPr>
              <w:pStyle w:val="Vchodzie"/>
              <w:widowControl/>
            </w:pP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bCs/>
              </w:rPr>
              <w:t>Kapitálový rozpočet</w:t>
            </w:r>
          </w:p>
        </w:tc>
        <w:tc>
          <w:tcPr>
            <w:tcW w:w="1595" w:type="dxa"/>
            <w:tcMar>
              <w:top w:w="0" w:type="dxa"/>
              <w:left w:w="108" w:type="dxa"/>
              <w:bottom w:w="0" w:type="dxa"/>
              <w:right w:w="108" w:type="dxa"/>
            </w:tcMar>
            <w:vAlign w:val="bottom"/>
          </w:tcPr>
          <w:p w:rsidR="004B5104" w:rsidRDefault="004B5104">
            <w:pPr>
              <w:pStyle w:val="Vchodzie"/>
              <w:widowControl/>
            </w:pP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rPr>
              <w:t xml:space="preserve">Príjmy </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50 899 723</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rPr>
              <w:t>Výdavky</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52 152 899</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rPr>
              <w:t>Rozdiel – schodok</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- 1 253 176</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p>
        </w:tc>
        <w:tc>
          <w:tcPr>
            <w:tcW w:w="1595" w:type="dxa"/>
            <w:tcMar>
              <w:top w:w="0" w:type="dxa"/>
              <w:left w:w="108" w:type="dxa"/>
              <w:bottom w:w="0" w:type="dxa"/>
              <w:right w:w="108" w:type="dxa"/>
            </w:tcMar>
            <w:vAlign w:val="bottom"/>
          </w:tcPr>
          <w:p w:rsidR="004B5104" w:rsidRDefault="004B5104">
            <w:pPr>
              <w:pStyle w:val="Vchodzie"/>
              <w:widowControl/>
            </w:pP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bCs/>
              </w:rPr>
              <w:t>Finančné operácie</w:t>
            </w:r>
          </w:p>
        </w:tc>
        <w:tc>
          <w:tcPr>
            <w:tcW w:w="1595" w:type="dxa"/>
            <w:tcMar>
              <w:top w:w="0" w:type="dxa"/>
              <w:left w:w="108" w:type="dxa"/>
              <w:bottom w:w="0" w:type="dxa"/>
              <w:right w:w="108" w:type="dxa"/>
            </w:tcMar>
            <w:vAlign w:val="bottom"/>
          </w:tcPr>
          <w:p w:rsidR="004B5104" w:rsidRDefault="004B5104">
            <w:pPr>
              <w:pStyle w:val="Vchodzie"/>
              <w:widowControl/>
            </w:pP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rPr>
              <w:t xml:space="preserve">Príjmy </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10 417 007</w:t>
            </w:r>
          </w:p>
        </w:tc>
      </w:tr>
      <w:tr w:rsidR="004B5104" w:rsidRPr="00F37736">
        <w:trPr>
          <w:trHeight w:val="315"/>
        </w:trPr>
        <w:tc>
          <w:tcPr>
            <w:tcW w:w="4525" w:type="dxa"/>
            <w:tcMar>
              <w:top w:w="0" w:type="dxa"/>
              <w:left w:w="108" w:type="dxa"/>
              <w:bottom w:w="0" w:type="dxa"/>
              <w:right w:w="108" w:type="dxa"/>
            </w:tcMar>
            <w:vAlign w:val="bottom"/>
          </w:tcPr>
          <w:p w:rsidR="004B5104" w:rsidRDefault="004B5104">
            <w:pPr>
              <w:pStyle w:val="Vchodzie"/>
              <w:widowControl/>
            </w:pPr>
            <w:r>
              <w:rPr>
                <w:rFonts w:cs="Times New Roman"/>
              </w:rPr>
              <w:t xml:space="preserve">Výdavky </w:t>
            </w:r>
          </w:p>
        </w:tc>
        <w:tc>
          <w:tcPr>
            <w:tcW w:w="1595" w:type="dxa"/>
            <w:tcMar>
              <w:top w:w="0" w:type="dxa"/>
              <w:left w:w="108" w:type="dxa"/>
              <w:bottom w:w="0" w:type="dxa"/>
              <w:right w:w="108" w:type="dxa"/>
            </w:tcMar>
            <w:vAlign w:val="bottom"/>
          </w:tcPr>
          <w:p w:rsidR="004B5104" w:rsidRDefault="004B5104">
            <w:pPr>
              <w:pStyle w:val="Vchodzie"/>
              <w:widowControl/>
              <w:jc w:val="right"/>
            </w:pPr>
            <w:r>
              <w:rPr>
                <w:rFonts w:cs="Times New Roman"/>
              </w:rPr>
              <w:t>11 404 769</w:t>
            </w:r>
          </w:p>
        </w:tc>
      </w:tr>
    </w:tbl>
    <w:p w:rsidR="004B5104" w:rsidRDefault="004B5104">
      <w:pPr>
        <w:pStyle w:val="Vchodzie"/>
        <w:widowControl/>
      </w:pPr>
      <w:r>
        <w:rPr>
          <w:rFonts w:cs="Times New Roman"/>
          <w:color w:val="000000"/>
        </w:rPr>
        <w:t xml:space="preserve"> Rozdiel – schodok                                                     -   987 762       </w:t>
      </w:r>
    </w:p>
    <w:p w:rsidR="004B5104" w:rsidRDefault="004B5104">
      <w:pPr>
        <w:pStyle w:val="Vchodzie"/>
        <w:widowControl/>
        <w:ind w:left="397"/>
      </w:pPr>
    </w:p>
    <w:p w:rsidR="004B5104" w:rsidRDefault="004B5104">
      <w:pPr>
        <w:pStyle w:val="Vchodzie"/>
        <w:widowControl/>
        <w:ind w:left="284" w:hanging="284"/>
      </w:pPr>
      <w:r>
        <w:rPr>
          <w:rFonts w:cs="Times New Roman"/>
        </w:rPr>
        <w:t>2.  Rozpočtové opatrenie - viazanie rozpočtovaných výdavkov v Programe č. 4 ŠKOLSTVO v bežnom rozpočte vo výške 1 000 000 €.</w:t>
      </w:r>
    </w:p>
    <w:p w:rsidR="004B5104" w:rsidRDefault="004B5104">
      <w:pPr>
        <w:pStyle w:val="Vchodzie"/>
        <w:widowControl/>
      </w:pPr>
    </w:p>
    <w:p w:rsidR="004B5104" w:rsidRDefault="004B5104">
      <w:pPr>
        <w:pStyle w:val="Vchodzie"/>
        <w:widowControl/>
      </w:pPr>
      <w:r>
        <w:rPr>
          <w:rFonts w:cs="Times New Roman"/>
        </w:rPr>
        <w:t>3.  Rozdelenie podielu dane z príjmov fyzických osôb pre mestské časti - viď. uznesenie č. 550.</w:t>
      </w:r>
    </w:p>
    <w:p w:rsidR="004B5104" w:rsidRDefault="004B5104">
      <w:pPr>
        <w:pStyle w:val="Vchodzie"/>
        <w:widowControl/>
      </w:pPr>
    </w:p>
    <w:p w:rsidR="004B5104" w:rsidRDefault="004B5104">
      <w:pPr>
        <w:pStyle w:val="Vchodzie"/>
        <w:widowControl/>
      </w:pPr>
      <w:r>
        <w:rPr>
          <w:rFonts w:cs="Times New Roman"/>
        </w:rPr>
        <w:t>4.   Rozdelenie účelových finančných prostriedkov pre mestské časti nasledovne :</w:t>
      </w:r>
    </w:p>
    <w:p w:rsidR="004B5104" w:rsidRDefault="004B5104">
      <w:pPr>
        <w:pStyle w:val="Vchodzie"/>
        <w:widowControl/>
      </w:pPr>
      <w:r>
        <w:rPr>
          <w:rFonts w:cs="Times New Roman"/>
        </w:rPr>
        <w:t xml:space="preserve">      - viď. uznesenie č. 550.</w:t>
      </w:r>
    </w:p>
    <w:p w:rsidR="004B5104" w:rsidRDefault="004B5104">
      <w:pPr>
        <w:pStyle w:val="Vchodzie"/>
        <w:widowControl/>
        <w:tabs>
          <w:tab w:val="left" w:pos="360"/>
        </w:tabs>
      </w:pPr>
      <w:r>
        <w:rPr>
          <w:rFonts w:cs="Times New Roman"/>
        </w:rPr>
        <w:t xml:space="preserve">a) opatrovateľská služba vo výške                                            </w:t>
      </w:r>
      <w:r>
        <w:rPr>
          <w:rFonts w:cs="Times New Roman"/>
        </w:rPr>
        <w:tab/>
        <w:t xml:space="preserve">800 000 €  </w:t>
      </w:r>
    </w:p>
    <w:p w:rsidR="004B5104" w:rsidRDefault="004B5104">
      <w:pPr>
        <w:pStyle w:val="Vchodzie"/>
        <w:widowControl/>
      </w:pPr>
      <w:r>
        <w:rPr>
          <w:rFonts w:cs="Times New Roman"/>
        </w:rPr>
        <w:t xml:space="preserve">b) účelové prostriedky na bežné výdavky vo výške                   </w:t>
      </w:r>
      <w:r>
        <w:rPr>
          <w:rFonts w:cs="Times New Roman"/>
        </w:rPr>
        <w:tab/>
        <w:t>410 000 €</w:t>
      </w:r>
    </w:p>
    <w:p w:rsidR="004B5104" w:rsidRDefault="004B5104">
      <w:pPr>
        <w:pStyle w:val="Vchodzie"/>
        <w:widowControl/>
        <w:ind w:left="180" w:hanging="180"/>
        <w:jc w:val="both"/>
      </w:pPr>
      <w:r>
        <w:rPr>
          <w:rFonts w:cs="Times New Roman"/>
        </w:rPr>
        <w:t xml:space="preserve">c) účelový príspevok na stravovanie dôchodcov formou transferu pre jednotlivé mestské časti.    </w:t>
      </w:r>
      <w:r>
        <w:rPr>
          <w:rFonts w:cs="Times New Roman"/>
        </w:rPr>
        <w:br/>
        <w:t xml:space="preserve"> Výška príspevku na jeden obed v závislosti od priznaného dôchodku je nasledovná: </w:t>
      </w:r>
    </w:p>
    <w:p w:rsidR="004B5104" w:rsidRDefault="004B5104">
      <w:pPr>
        <w:pStyle w:val="Vchodzie"/>
        <w:widowControl/>
        <w:ind w:left="720" w:hanging="360"/>
      </w:pPr>
      <w:r>
        <w:rPr>
          <w:rFonts w:cs="Times New Roman"/>
        </w:rPr>
        <w:t xml:space="preserve"> </w:t>
      </w:r>
      <w:r>
        <w:rPr>
          <w:rFonts w:cs="Times New Roman"/>
        </w:rPr>
        <w:tab/>
        <w:t>do 250,00 €                                              0,83 €</w:t>
      </w:r>
    </w:p>
    <w:p w:rsidR="004B5104" w:rsidRDefault="004B5104">
      <w:pPr>
        <w:pStyle w:val="Vchodzie"/>
        <w:widowControl/>
        <w:ind w:left="720" w:hanging="12"/>
      </w:pPr>
      <w:r>
        <w:rPr>
          <w:rFonts w:cs="Times New Roman"/>
        </w:rPr>
        <w:t>od 250,01 €  do 330,00 €                         0,66 €</w:t>
      </w:r>
    </w:p>
    <w:p w:rsidR="004B5104" w:rsidRDefault="004B5104">
      <w:pPr>
        <w:pStyle w:val="Vchodzie"/>
        <w:widowControl/>
        <w:ind w:left="720" w:hanging="12"/>
      </w:pPr>
      <w:r>
        <w:rPr>
          <w:rFonts w:cs="Times New Roman"/>
        </w:rPr>
        <w:t>od 330,01 €                                              0,00 €</w:t>
      </w:r>
    </w:p>
    <w:p w:rsidR="004B5104" w:rsidRDefault="004B5104">
      <w:pPr>
        <w:pStyle w:val="Vchodzie"/>
        <w:widowControl/>
        <w:tabs>
          <w:tab w:val="left" w:pos="360"/>
        </w:tabs>
      </w:pPr>
      <w:r>
        <w:rPr>
          <w:rFonts w:cs="Times New Roman"/>
        </w:rPr>
        <w:t xml:space="preserve">d) </w:t>
      </w:r>
      <w:r>
        <w:rPr>
          <w:rFonts w:cs="Times New Roman"/>
        </w:rPr>
        <w:tab/>
        <w:t xml:space="preserve">účelové  finančné prostriedky pre jednotlivé mestské časti  na verejnoprospešné služby </w:t>
      </w:r>
      <w:r>
        <w:rPr>
          <w:rFonts w:cs="Times New Roman"/>
        </w:rPr>
        <w:br/>
        <w:t xml:space="preserve"> </w:t>
      </w:r>
      <w:r>
        <w:rPr>
          <w:rFonts w:cs="Times New Roman"/>
        </w:rPr>
        <w:tab/>
        <w:t>a investičné akcie : 10 000 € pre  MČ – Barca, Džungľa, Kavečany, Lorinčík, Vyšné Opátske,</w:t>
      </w:r>
    </w:p>
    <w:p w:rsidR="004B5104" w:rsidRDefault="004B5104">
      <w:pPr>
        <w:pStyle w:val="Vchodzie"/>
        <w:widowControl/>
        <w:tabs>
          <w:tab w:val="left" w:pos="360"/>
        </w:tabs>
      </w:pPr>
      <w:r>
        <w:rPr>
          <w:rFonts w:cs="Times New Roman"/>
        </w:rPr>
        <w:t xml:space="preserve">      Košická Nová Ves, Krásna, Myslava, Pereš, Poľov, Šebastovce, Šaca, Ťahanovce – obec </w:t>
      </w:r>
    </w:p>
    <w:p w:rsidR="004B5104" w:rsidRDefault="004B5104">
      <w:pPr>
        <w:pStyle w:val="Vchodzie"/>
        <w:widowControl/>
        <w:tabs>
          <w:tab w:val="left" w:pos="360"/>
        </w:tabs>
      </w:pPr>
      <w:r>
        <w:rPr>
          <w:rFonts w:cs="Times New Roman"/>
        </w:rPr>
        <w:t xml:space="preserve">      a 30 000 € pre  MČ – Dargovských hrdinov, Juh, Nad jazerom, Staré mesto, Západ, </w:t>
      </w:r>
      <w:r>
        <w:rPr>
          <w:rFonts w:cs="Times New Roman"/>
        </w:rPr>
        <w:br/>
        <w:t xml:space="preserve"> </w:t>
      </w:r>
      <w:r>
        <w:rPr>
          <w:rFonts w:cs="Times New Roman"/>
        </w:rPr>
        <w:tab/>
        <w:t xml:space="preserve">Sídlisko Ťahanovce, Sever, Sídlisko KVP.  </w:t>
      </w:r>
    </w:p>
    <w:p w:rsidR="004B5104" w:rsidRDefault="004B5104">
      <w:pPr>
        <w:pStyle w:val="Vchodzie"/>
        <w:widowControl/>
        <w:jc w:val="both"/>
      </w:pPr>
      <w:r>
        <w:rPr>
          <w:rFonts w:cs="Times New Roman"/>
        </w:rPr>
        <w:t xml:space="preserve">      Uvedené finančné prostriedky budú mestským častiam poukazované priebežne na základe</w:t>
      </w:r>
    </w:p>
    <w:p w:rsidR="004B5104" w:rsidRDefault="004B5104">
      <w:pPr>
        <w:pStyle w:val="Vchodzie"/>
        <w:widowControl/>
        <w:jc w:val="both"/>
      </w:pPr>
      <w:r>
        <w:rPr>
          <w:rFonts w:cs="Times New Roman"/>
        </w:rPr>
        <w:t xml:space="preserve">      predložených faktúr a iných daňových dokladov.</w:t>
      </w:r>
    </w:p>
    <w:p w:rsidR="004B5104" w:rsidRDefault="004B5104">
      <w:pPr>
        <w:pStyle w:val="Vchodzie"/>
        <w:widowControl/>
        <w:jc w:val="both"/>
      </w:pPr>
    </w:p>
    <w:p w:rsidR="004B5104" w:rsidRDefault="004B5104">
      <w:pPr>
        <w:pStyle w:val="Vchodzie"/>
        <w:widowControl/>
        <w:ind w:left="360" w:hanging="360"/>
        <w:jc w:val="both"/>
      </w:pPr>
      <w:r>
        <w:rPr>
          <w:rFonts w:cs="Times New Roman"/>
        </w:rPr>
        <w:t xml:space="preserve">5. </w:t>
      </w:r>
      <w:r>
        <w:rPr>
          <w:rFonts w:cs="Times New Roman"/>
        </w:rPr>
        <w:tab/>
        <w:t xml:space="preserve">Použitie finančných prostriedkov vyplývajúcich z regulatívov v rozpočtoch mestských častí s účelovým určením na verejnoprospešné práce (zeleň, komunikácie, verejné osvetlenie, zimná údržba) na území príslušnej mestskej časti alebo na  údržbu majetku zvereného mestom do správy MČ. </w:t>
      </w:r>
    </w:p>
    <w:p w:rsidR="004B5104" w:rsidRDefault="004B5104">
      <w:pPr>
        <w:pStyle w:val="Vchodzie"/>
        <w:widowControl/>
        <w:jc w:val="both"/>
      </w:pPr>
      <w:r>
        <w:rPr>
          <w:rFonts w:cs="Times New Roman"/>
        </w:rPr>
        <w:t xml:space="preserve">    Všetky schválené účelové finančné prostriedky a odvody z regulatívov podliehajú finančnému</w:t>
      </w:r>
    </w:p>
    <w:p w:rsidR="004B5104" w:rsidRDefault="004B5104">
      <w:pPr>
        <w:pStyle w:val="Vchodzie"/>
        <w:widowControl/>
        <w:jc w:val="both"/>
      </w:pPr>
      <w:r>
        <w:rPr>
          <w:rFonts w:cs="Times New Roman"/>
        </w:rPr>
        <w:t xml:space="preserve">    zúčtovaniu v rozpočtovom roku.</w:t>
      </w:r>
    </w:p>
    <w:p w:rsidR="004B5104" w:rsidRDefault="004B5104">
      <w:pPr>
        <w:pStyle w:val="Vchodzie"/>
        <w:widowControl/>
        <w:jc w:val="both"/>
      </w:pPr>
    </w:p>
    <w:p w:rsidR="004B5104" w:rsidRDefault="004B5104">
      <w:pPr>
        <w:pStyle w:val="Vchodzie"/>
        <w:widowControl/>
        <w:jc w:val="both"/>
      </w:pPr>
      <w:r>
        <w:rPr>
          <w:rFonts w:cs="Times New Roman"/>
        </w:rPr>
        <w:t xml:space="preserve">6.   Dotáciu v zmysle VZN mesta Košice č. 76: </w:t>
      </w:r>
    </w:p>
    <w:p w:rsidR="004B5104" w:rsidRDefault="004B5104">
      <w:pPr>
        <w:pStyle w:val="Heading1"/>
        <w:ind w:left="360"/>
        <w:jc w:val="both"/>
      </w:pPr>
      <w:r>
        <w:rPr>
          <w:rFonts w:ascii="Times New Roman" w:hAnsi="Times New Roman"/>
          <w:szCs w:val="24"/>
        </w:rPr>
        <w:t>Klub národnostných menšín a Pamätná izba Sándora Máraiho za účelom zabezpečenia aktivít všetkých národnostných menšín, ktoré pôsobia v meste Košice vo výške 3 000 €.</w:t>
      </w:r>
    </w:p>
    <w:p w:rsidR="004B5104" w:rsidRDefault="004B5104">
      <w:pPr>
        <w:pStyle w:val="Vchodzie"/>
        <w:widowControl/>
        <w:ind w:left="360"/>
        <w:jc w:val="both"/>
      </w:pPr>
    </w:p>
    <w:p w:rsidR="004B5104" w:rsidRDefault="004B5104">
      <w:pPr>
        <w:pStyle w:val="Heading1"/>
        <w:ind w:left="360"/>
        <w:jc w:val="both"/>
      </w:pPr>
      <w:r>
        <w:rPr>
          <w:rFonts w:ascii="Times New Roman" w:hAnsi="Times New Roman"/>
          <w:szCs w:val="24"/>
        </w:rPr>
        <w:t xml:space="preserve">Ekumenické spoločenstvo cirkví a náboženských spoločností na území mesta Košice za účelom zabezpečenia aktivít v oblasti ekumenizmu a duchovného rozvoja v spolupráci so všetkými cirkvami a náboženskými spoločnosťami na území mesta Košice vo výške   4 000 €. </w:t>
      </w:r>
    </w:p>
    <w:p w:rsidR="004B5104" w:rsidRDefault="004B5104">
      <w:pPr>
        <w:pStyle w:val="Vchodzie"/>
        <w:widowControl/>
      </w:pPr>
    </w:p>
    <w:p w:rsidR="004B5104" w:rsidRDefault="004B5104">
      <w:pPr>
        <w:pStyle w:val="Vchodzie"/>
        <w:widowControl/>
      </w:pPr>
      <w:r>
        <w:rPr>
          <w:rFonts w:cs="Times New Roman"/>
        </w:rPr>
        <w:t>MZ poverilo</w:t>
      </w:r>
      <w:r>
        <w:rPr>
          <w:rFonts w:cs="Times New Roman"/>
          <w:b/>
        </w:rPr>
        <w:t xml:space="preserve"> </w:t>
      </w:r>
      <w:r>
        <w:rPr>
          <w:rFonts w:cs="Times New Roman"/>
        </w:rPr>
        <w:t xml:space="preserve">primátora mesta Košice podľa ustanovení § 11 ods. 4 písm. b) zákona č. 369/1990 Zb. a § 14 ods. 1 zákona č. 583/2004 Z. z. v znení ďalších zmien a doplnkov aktualizovať rozpočet: </w:t>
      </w:r>
    </w:p>
    <w:p w:rsidR="004B5104" w:rsidRDefault="004B5104">
      <w:pPr>
        <w:pStyle w:val="Vchodzie"/>
        <w:widowControl/>
        <w:ind w:left="360"/>
        <w:jc w:val="both"/>
      </w:pPr>
      <w:r>
        <w:rPr>
          <w:rFonts w:cs="Times New Roman"/>
        </w:rPr>
        <w:t xml:space="preserve">- o  uhradené  záväzky  presunom  zo  schváleného  rozpočtu z programu </w:t>
      </w:r>
      <w:r>
        <w:rPr>
          <w:rFonts w:cs="Times New Roman"/>
        </w:rPr>
        <w:br/>
        <w:t xml:space="preserve">    č. 9 Interné  služby  „Záväzky  z  minulých   rokov“  do  príslušného  programu </w:t>
      </w:r>
    </w:p>
    <w:p w:rsidR="004B5104" w:rsidRDefault="004B5104">
      <w:pPr>
        <w:pStyle w:val="Vchodzie"/>
        <w:widowControl/>
        <w:ind w:left="360"/>
        <w:jc w:val="both"/>
      </w:pPr>
      <w:r>
        <w:rPr>
          <w:rFonts w:cs="Times New Roman"/>
        </w:rPr>
        <w:t xml:space="preserve">    a podprogramu a podľa platnej funkčnej a ekonomickej klasifikácie   </w:t>
      </w:r>
    </w:p>
    <w:p w:rsidR="004B5104" w:rsidRDefault="004B5104">
      <w:pPr>
        <w:pStyle w:val="Vchodzie"/>
        <w:widowControl/>
        <w:ind w:left="360"/>
        <w:jc w:val="both"/>
      </w:pPr>
      <w:r>
        <w:rPr>
          <w:rFonts w:cs="Times New Roman"/>
        </w:rPr>
        <w:t>-   o granty a transfery poskytnuté zo štátneho rozpočtu SR a EÚ</w:t>
      </w:r>
    </w:p>
    <w:p w:rsidR="004B5104" w:rsidRDefault="004B5104">
      <w:pPr>
        <w:pStyle w:val="Vchodzie"/>
        <w:widowControl/>
        <w:ind w:left="360"/>
        <w:jc w:val="both"/>
      </w:pPr>
      <w:r>
        <w:rPr>
          <w:rFonts w:cs="Times New Roman"/>
        </w:rPr>
        <w:t>-   o finančné prostriedky poskytnuté formou sponzorských príspevkov</w:t>
      </w:r>
    </w:p>
    <w:p w:rsidR="004B5104" w:rsidRDefault="004B5104">
      <w:pPr>
        <w:pStyle w:val="Vchodzie"/>
        <w:widowControl/>
        <w:jc w:val="both"/>
      </w:pPr>
      <w:r>
        <w:rPr>
          <w:rFonts w:cs="Times New Roman"/>
        </w:rPr>
        <w:t xml:space="preserve">      -   o návratné zdroje financovania a ich splácanie, súvisiace s predfinancovaním   </w:t>
      </w:r>
    </w:p>
    <w:p w:rsidR="004B5104" w:rsidRDefault="004B5104">
      <w:pPr>
        <w:pStyle w:val="Vchodzie"/>
        <w:widowControl/>
        <w:jc w:val="both"/>
      </w:pPr>
      <w:r>
        <w:rPr>
          <w:rFonts w:cs="Times New Roman"/>
        </w:rPr>
        <w:t xml:space="preserve">          investičných projektov podporených zo zdrojov EÚ a zo štátneho rozpočtu.</w:t>
      </w:r>
    </w:p>
    <w:p w:rsidR="004B5104" w:rsidRDefault="004B5104">
      <w:pPr>
        <w:pStyle w:val="Vchodzie"/>
        <w:widowControl/>
        <w:jc w:val="both"/>
      </w:pPr>
    </w:p>
    <w:p w:rsidR="004B5104" w:rsidRDefault="004B5104">
      <w:pPr>
        <w:pStyle w:val="Vchodzie"/>
        <w:widowControl/>
        <w:jc w:val="both"/>
      </w:pPr>
      <w:r>
        <w:rPr>
          <w:rFonts w:cs="Times New Roman"/>
        </w:rPr>
        <w:t xml:space="preserve">MZ vzalo na vedomie Programový rozpočet mesta Košice na roky 2014 a 2015 </w:t>
      </w:r>
    </w:p>
    <w:p w:rsidR="004B5104" w:rsidRDefault="004B5104">
      <w:pPr>
        <w:pStyle w:val="Vchodzie"/>
        <w:widowControl/>
        <w:jc w:val="both"/>
      </w:pPr>
      <w:r>
        <w:rPr>
          <w:rFonts w:cs="Times New Roman"/>
        </w:rPr>
        <w:t>- viď. uznesenie  č. 550</w:t>
      </w:r>
    </w:p>
    <w:p w:rsidR="004B5104" w:rsidRDefault="004B5104">
      <w:pPr>
        <w:pStyle w:val="Vchodzie"/>
        <w:widowControl/>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t xml:space="preserve">             </w:t>
      </w:r>
    </w:p>
    <w:p w:rsidR="004B5104" w:rsidRDefault="004B5104">
      <w:pPr>
        <w:pStyle w:val="Vchodzie"/>
        <w:widowControl/>
      </w:pPr>
      <w:r>
        <w:rPr>
          <w:rFonts w:cs="Times New Roman"/>
          <w:b/>
          <w:i/>
          <w:iCs/>
        </w:rPr>
        <w:t>Zmeny a doplnenia VZN mesta Košice č. 78 o čistote a o verejnom poriadku</w:t>
      </w:r>
    </w:p>
    <w:p w:rsidR="004B5104" w:rsidRDefault="004B5104">
      <w:pPr>
        <w:pStyle w:val="Vchodzie"/>
        <w:widowControl/>
        <w:jc w:val="both"/>
      </w:pPr>
      <w:r>
        <w:rPr>
          <w:rFonts w:cs="Times New Roman"/>
        </w:rPr>
        <w:t>MZ schválilo Zmeny a doplnenia Všeobecne záväzného nariadenia mesta Košice č. 78 o čistote a o verejnom poriadku podľa  predloženého návrhu s nasledovnými zmenami viď. uznesenie č. 551.</w:t>
      </w:r>
    </w:p>
    <w:p w:rsidR="004B5104" w:rsidRDefault="004B5104">
      <w:pPr>
        <w:pStyle w:val="Vchodzie"/>
        <w:widowControl/>
        <w:jc w:val="both"/>
      </w:pPr>
    </w:p>
    <w:p w:rsidR="004B5104" w:rsidRDefault="004B5104">
      <w:pPr>
        <w:pStyle w:val="Vchodzie"/>
        <w:widowControl/>
      </w:pPr>
      <w:r>
        <w:rPr>
          <w:rFonts w:cs="Times New Roman"/>
          <w:b/>
          <w:i/>
          <w:iCs/>
        </w:rPr>
        <w:t>Zmeny a doplnky Územného plánu hospodársko-sídelnej aglomerácie Košice 2012,</w:t>
      </w:r>
    </w:p>
    <w:p w:rsidR="004B5104" w:rsidRDefault="004B5104">
      <w:pPr>
        <w:pStyle w:val="Vchodzie"/>
        <w:widowControl/>
      </w:pPr>
      <w:r>
        <w:rPr>
          <w:rFonts w:cs="Times New Roman"/>
          <w:b/>
          <w:i/>
          <w:iCs/>
        </w:rPr>
        <w:t xml:space="preserve">zmena č. 65, </w:t>
      </w:r>
      <w:smartTag w:uri="urn:schemas-microsoft-com:office:smarttags" w:element="metricconverter">
        <w:smartTagPr>
          <w:attr w:name="ProductID" w:val="66 a"/>
        </w:smartTagPr>
        <w:r>
          <w:rPr>
            <w:rFonts w:cs="Times New Roman"/>
            <w:b/>
            <w:i/>
            <w:iCs/>
          </w:rPr>
          <w:t>66 a</w:t>
        </w:r>
      </w:smartTag>
      <w:r>
        <w:rPr>
          <w:rFonts w:cs="Times New Roman"/>
          <w:b/>
          <w:i/>
          <w:iCs/>
        </w:rPr>
        <w:t xml:space="preserve"> 67</w:t>
      </w:r>
    </w:p>
    <w:p w:rsidR="004B5104" w:rsidRDefault="004B5104">
      <w:pPr>
        <w:pStyle w:val="Heading1"/>
        <w:tabs>
          <w:tab w:val="left" w:pos="432"/>
        </w:tabs>
        <w:jc w:val="both"/>
      </w:pPr>
      <w:r>
        <w:rPr>
          <w:rFonts w:ascii="Times New Roman" w:hAnsi="Times New Roman"/>
        </w:rPr>
        <w:t>MZ vzalo na vedomie :</w:t>
      </w:r>
    </w:p>
    <w:p w:rsidR="004B5104" w:rsidRDefault="004B5104">
      <w:pPr>
        <w:pStyle w:val="Vchodzie"/>
        <w:widowControl/>
        <w:tabs>
          <w:tab w:val="left" w:pos="180"/>
        </w:tabs>
        <w:jc w:val="both"/>
      </w:pPr>
      <w:r>
        <w:rPr>
          <w:rFonts w:cs="Times New Roman"/>
          <w:b/>
          <w:bCs/>
        </w:rPr>
        <w:t xml:space="preserve">- </w:t>
      </w:r>
      <w:r>
        <w:rPr>
          <w:rFonts w:cs="Times New Roman"/>
          <w:bCs/>
        </w:rPr>
        <w:t xml:space="preserve">súhlasné stanovisko Obvodného úradu v Košiciach, Odbor výstavby a bytovej politiky </w:t>
      </w:r>
    </w:p>
    <w:p w:rsidR="004B5104" w:rsidRDefault="004B5104">
      <w:pPr>
        <w:pStyle w:val="Vchodzie"/>
        <w:widowControl/>
        <w:tabs>
          <w:tab w:val="left" w:pos="180"/>
        </w:tabs>
      </w:pPr>
      <w:r>
        <w:rPr>
          <w:rFonts w:cs="Times New Roman"/>
          <w:bCs/>
        </w:rPr>
        <w:t xml:space="preserve">   v zmysle § 25 zákona </w:t>
      </w:r>
      <w:r>
        <w:rPr>
          <w:rFonts w:cs="Times New Roman"/>
        </w:rPr>
        <w:t xml:space="preserve">č. 50/1976 Zb. o územnom plánovaní  a stavebnom poriadku  </w:t>
      </w:r>
    </w:p>
    <w:p w:rsidR="004B5104" w:rsidRDefault="004B5104">
      <w:pPr>
        <w:pStyle w:val="Vchodzie"/>
        <w:widowControl/>
        <w:tabs>
          <w:tab w:val="left" w:pos="180"/>
        </w:tabs>
      </w:pPr>
      <w:r>
        <w:rPr>
          <w:rFonts w:cs="Times New Roman"/>
        </w:rPr>
        <w:t xml:space="preserve">   (stavebný   zákon) v znení neskorších predpisov</w:t>
      </w:r>
      <w:r>
        <w:rPr>
          <w:rFonts w:cs="Times New Roman"/>
          <w:bCs/>
        </w:rPr>
        <w:t xml:space="preserve"> k návrhu </w:t>
      </w:r>
      <w:r>
        <w:t xml:space="preserve">Zmien a doplnkov č.65 Magnezitárska, </w:t>
      </w:r>
      <w:r>
        <w:br/>
        <w:t xml:space="preserve"> </w:t>
      </w:r>
      <w:r>
        <w:tab/>
        <w:t>č. 66 Za Hornádom, č.67 Napájadlá - ÚPN HSA Košice.</w:t>
      </w:r>
    </w:p>
    <w:p w:rsidR="004B5104" w:rsidRDefault="004B5104">
      <w:pPr>
        <w:pStyle w:val="Vchodzie"/>
        <w:widowControl/>
        <w:tabs>
          <w:tab w:val="left" w:pos="180"/>
        </w:tabs>
      </w:pPr>
      <w:r>
        <w:rPr>
          <w:rFonts w:cs="Times New Roman"/>
          <w:bCs/>
        </w:rPr>
        <w:t xml:space="preserve">-  vyhodnotenie pripomienok k návrhu </w:t>
      </w:r>
      <w:r>
        <w:t xml:space="preserve">Zmien a doplnkov č. 65 Magnezitárska, č.66 </w:t>
      </w:r>
    </w:p>
    <w:p w:rsidR="004B5104" w:rsidRDefault="004B5104">
      <w:pPr>
        <w:pStyle w:val="Vchodzie"/>
        <w:widowControl/>
        <w:tabs>
          <w:tab w:val="left" w:pos="180"/>
        </w:tabs>
      </w:pPr>
      <w:r>
        <w:t xml:space="preserve">    Za  Hornádom, č. 67 Napájadlá - ÚPN HSA Košice,</w:t>
      </w:r>
    </w:p>
    <w:p w:rsidR="004B5104" w:rsidRDefault="004B5104">
      <w:pPr>
        <w:pStyle w:val="Vchodzie"/>
        <w:widowControl/>
        <w:tabs>
          <w:tab w:val="left" w:pos="180"/>
        </w:tabs>
      </w:pPr>
    </w:p>
    <w:p w:rsidR="004B5104" w:rsidRDefault="004B5104">
      <w:pPr>
        <w:pStyle w:val="Vchodzie"/>
        <w:widowControl/>
        <w:tabs>
          <w:tab w:val="left" w:pos="180"/>
        </w:tabs>
      </w:pPr>
      <w:r>
        <w:t>MZ schválilo :</w:t>
      </w:r>
    </w:p>
    <w:p w:rsidR="004B5104" w:rsidRDefault="004B5104">
      <w:pPr>
        <w:pStyle w:val="Vchodzie"/>
        <w:widowControl/>
        <w:jc w:val="both"/>
      </w:pPr>
      <w:r>
        <w:rPr>
          <w:rFonts w:cs="Times New Roman"/>
        </w:rPr>
        <w:t>1. Zmeny a doplnky</w:t>
      </w:r>
      <w:r>
        <w:t xml:space="preserve"> č. 65 Magnezitárska, č. 66 Za Hornádom, č. 67 Napájadlá - ÚPN HSA </w:t>
      </w:r>
      <w:r>
        <w:br/>
        <w:t xml:space="preserve">    Košice</w:t>
      </w:r>
      <w:r>
        <w:rPr>
          <w:rFonts w:cs="Times New Roman"/>
        </w:rPr>
        <w:t xml:space="preserve"> v zmysle spracovanej dokumentácie, </w:t>
      </w:r>
    </w:p>
    <w:p w:rsidR="004B5104" w:rsidRDefault="004B5104">
      <w:pPr>
        <w:pStyle w:val="Vchodzie"/>
        <w:widowControl/>
        <w:spacing w:before="120"/>
        <w:jc w:val="both"/>
      </w:pPr>
      <w:r>
        <w:rPr>
          <w:rFonts w:cs="Times New Roman"/>
        </w:rPr>
        <w:t xml:space="preserve">2. doplnok ku Všeobecne záväznému nariadeniu mesta Košice č. </w:t>
      </w:r>
      <w:r>
        <w:rPr>
          <w:rFonts w:cs="Arial"/>
        </w:rPr>
        <w:t xml:space="preserve">39/1998, ktorým sa </w:t>
      </w:r>
      <w:r>
        <w:rPr>
          <w:rFonts w:cs="Arial"/>
        </w:rPr>
        <w:br/>
        <w:t xml:space="preserve">    vyhlasuje záväzná časť</w:t>
      </w:r>
      <w:r>
        <w:rPr>
          <w:rFonts w:cs="Times New Roman"/>
        </w:rPr>
        <w:t xml:space="preserve"> územného plánu HSA Košice  podľa predloženého návrhu Zmien a </w:t>
      </w:r>
      <w:r>
        <w:rPr>
          <w:rFonts w:cs="Times New Roman"/>
        </w:rPr>
        <w:br/>
        <w:t xml:space="preserve">    doplnkov</w:t>
      </w:r>
      <w:r>
        <w:t xml:space="preserve"> č. 65 Magnezitárska, č. 66 Za Hornádom, č. 67 Napájadlá - ÚPN HSA Košice,</w:t>
      </w:r>
    </w:p>
    <w:p w:rsidR="004B5104" w:rsidRDefault="004B5104">
      <w:pPr>
        <w:pStyle w:val="Vchodzie"/>
        <w:widowControl/>
        <w:jc w:val="both"/>
      </w:pPr>
    </w:p>
    <w:p w:rsidR="004B5104" w:rsidRDefault="004B5104">
      <w:pPr>
        <w:pStyle w:val="Vchodzie"/>
        <w:widowControl/>
        <w:ind w:left="60"/>
        <w:jc w:val="both"/>
      </w:pPr>
      <w:r>
        <w:rPr>
          <w:rFonts w:cs="Times New Roman"/>
        </w:rPr>
        <w:t xml:space="preserve">MZ žiadalo </w:t>
      </w:r>
      <w:r>
        <w:rPr>
          <w:rFonts w:cs="Times New Roman"/>
          <w:b/>
          <w:bCs/>
        </w:rPr>
        <w:t xml:space="preserve"> </w:t>
      </w:r>
      <w:r>
        <w:rPr>
          <w:rFonts w:cs="Times New Roman"/>
        </w:rPr>
        <w:t>primátora mesta Košice zabezpečiť prostredníctvom odborne spôsobilej osoby pre obstarávanie predmetnej územnoplánovacej dokumentácie - viď. uznesenie č. 552.</w:t>
      </w:r>
    </w:p>
    <w:p w:rsidR="004B5104" w:rsidRDefault="004B5104">
      <w:pPr>
        <w:pStyle w:val="Vchodzie"/>
        <w:widowControl/>
        <w:jc w:val="both"/>
      </w:pPr>
    </w:p>
    <w:p w:rsidR="004B5104" w:rsidRDefault="004B5104">
      <w:pPr>
        <w:pStyle w:val="Vchodzie"/>
        <w:widowControl/>
      </w:pPr>
      <w:r>
        <w:rPr>
          <w:rFonts w:cs="Times New Roman"/>
          <w:b/>
        </w:rPr>
        <w:t>Zmeny a doplnenie predmetu podnikania (činnosti) obchodnej spoločnosti Bytový  podnik mesta Košice, s.r.o.</w:t>
      </w:r>
    </w:p>
    <w:p w:rsidR="004B5104" w:rsidRDefault="004B5104">
      <w:pPr>
        <w:pStyle w:val="Title"/>
        <w:jc w:val="left"/>
      </w:pPr>
      <w:r>
        <w:rPr>
          <w:rFonts w:ascii="Times New Roman" w:hAnsi="Times New Roman"/>
          <w:b w:val="0"/>
          <w:bCs w:val="0"/>
          <w:u w:val="none"/>
        </w:rPr>
        <w:t>MZ schválilo zmenu zakladateľskej listiny obchodnej spoločnosti Bytový podnik mesta Košice.</w:t>
      </w:r>
      <w:r>
        <w:rPr>
          <w:rFonts w:ascii="Times New Roman" w:hAnsi="Times New Roman"/>
          <w:u w:val="none"/>
        </w:rPr>
        <w:t xml:space="preserve"> </w:t>
      </w:r>
    </w:p>
    <w:p w:rsidR="004B5104" w:rsidRDefault="004B5104">
      <w:pPr>
        <w:pStyle w:val="Title"/>
        <w:jc w:val="left"/>
      </w:pPr>
      <w:r>
        <w:rPr>
          <w:rFonts w:ascii="Times New Roman" w:hAnsi="Times New Roman"/>
          <w:b w:val="0"/>
          <w:bCs w:val="0"/>
          <w:u w:val="none"/>
        </w:rPr>
        <w:t>MZ uložilo konateľovi obchodnej spoločnosti Bytový podnik mesta Košice, s.r.o.:</w:t>
      </w:r>
    </w:p>
    <w:p w:rsidR="004B5104" w:rsidRDefault="004B5104">
      <w:pPr>
        <w:pStyle w:val="Vchodzie"/>
        <w:widowControl/>
        <w:tabs>
          <w:tab w:val="left" w:pos="720"/>
          <w:tab w:val="left" w:pos="1800"/>
        </w:tabs>
      </w:pPr>
      <w:r>
        <w:rPr>
          <w:rFonts w:cs="Times New Roman"/>
        </w:rPr>
        <w:t>a) zabezpečiť zápis zmien v Obchodnom registri,</w:t>
      </w:r>
    </w:p>
    <w:p w:rsidR="004B5104" w:rsidRDefault="004B5104">
      <w:pPr>
        <w:pStyle w:val="Vchodzie"/>
        <w:widowControl/>
        <w:tabs>
          <w:tab w:val="left" w:pos="720"/>
          <w:tab w:val="left" w:pos="1800"/>
        </w:tabs>
        <w:jc w:val="both"/>
      </w:pPr>
      <w:r>
        <w:rPr>
          <w:rFonts w:cs="Times New Roman"/>
        </w:rPr>
        <w:t xml:space="preserve">b) vypracovať úplné znenie Zakladateľskej listiny.  </w:t>
      </w:r>
    </w:p>
    <w:p w:rsidR="004B5104" w:rsidRDefault="004B5104">
      <w:pPr>
        <w:pStyle w:val="Vchodzie"/>
        <w:widowControl/>
        <w:jc w:val="both"/>
      </w:pPr>
    </w:p>
    <w:p w:rsidR="004B5104" w:rsidRDefault="004B5104">
      <w:pPr>
        <w:pStyle w:val="Vchodzie"/>
        <w:widowControl/>
      </w:pPr>
      <w:r>
        <w:rPr>
          <w:rFonts w:cs="Times New Roman"/>
          <w:b/>
        </w:rPr>
        <w:t xml:space="preserve">Informácia o záveroch vykonaného mimoriadneho dohľadu MPSVaR SR </w:t>
      </w:r>
      <w:r>
        <w:rPr>
          <w:rFonts w:cs="Times New Roman"/>
          <w:b/>
        </w:rPr>
        <w:br/>
        <w:t xml:space="preserve">nad poskytovaním sociálnych služieb  v Stredisku sociálnej pomoci mesta Košice </w:t>
      </w:r>
    </w:p>
    <w:p w:rsidR="004B5104" w:rsidRDefault="004B5104">
      <w:pPr>
        <w:pStyle w:val="Vchodzie"/>
        <w:widowControl/>
      </w:pPr>
      <w:r>
        <w:rPr>
          <w:rFonts w:cs="Times New Roman"/>
          <w:b/>
        </w:rPr>
        <w:t>a prijatých opatreniach na odstránenie zistených nedostatkov</w:t>
      </w:r>
    </w:p>
    <w:p w:rsidR="004B5104" w:rsidRDefault="004B5104">
      <w:pPr>
        <w:pStyle w:val="Vchodzie"/>
        <w:widowControl/>
        <w:jc w:val="both"/>
      </w:pPr>
      <w:r>
        <w:rPr>
          <w:rFonts w:cs="Times New Roman"/>
        </w:rPr>
        <w:t>MZ vzalo na vedomie informáciu o  záveroch vykonaného mimoriadneho dohľadu MPSVaR SR nad poskytovaním sociálnych služieb v Stredisku sociálnej pomoci mesta Košice a prijatých opatreniach na odstránenie  zistených nedostatkov.</w:t>
      </w:r>
    </w:p>
    <w:p w:rsidR="004B5104" w:rsidRDefault="004B5104">
      <w:pPr>
        <w:pStyle w:val="Vchodzie"/>
        <w:widowControl/>
        <w:jc w:val="center"/>
      </w:pPr>
    </w:p>
    <w:p w:rsidR="004B5104" w:rsidRDefault="004B5104">
      <w:pPr>
        <w:pStyle w:val="Vchodzie"/>
        <w:widowControl/>
      </w:pPr>
      <w:r>
        <w:rPr>
          <w:rFonts w:cs="Times New Roman"/>
          <w:b/>
          <w:bCs/>
          <w:i/>
          <w:iCs/>
        </w:rPr>
        <w:t>Priebežná správa o projekte Košice – Európske hlavné mesto kultúry 2013 za obdobie 18.10.2012 – 31.12.2012</w:t>
      </w:r>
    </w:p>
    <w:p w:rsidR="004B5104" w:rsidRDefault="004B5104">
      <w:pPr>
        <w:pStyle w:val="Vchodzie"/>
        <w:widowControl/>
        <w:jc w:val="both"/>
      </w:pPr>
      <w:r>
        <w:rPr>
          <w:rFonts w:cs="Times New Roman"/>
        </w:rPr>
        <w:t xml:space="preserve">MZ vzalo na vedomie Priebežnú správu o projekte Košice – Európske hlavné mesto kultúry 2013 </w:t>
      </w:r>
    </w:p>
    <w:p w:rsidR="004B5104" w:rsidRDefault="004B5104">
      <w:pPr>
        <w:pStyle w:val="Vchodzie"/>
        <w:widowControl/>
        <w:jc w:val="both"/>
      </w:pPr>
      <w:r>
        <w:rPr>
          <w:rFonts w:cs="Times New Roman"/>
        </w:rPr>
        <w:t>za obdobie 18.10.2012 – 31.12.2012.</w:t>
      </w:r>
    </w:p>
    <w:p w:rsidR="004B5104" w:rsidRDefault="004B5104">
      <w:pPr>
        <w:pStyle w:val="Vchodzie"/>
        <w:widowControl/>
        <w:jc w:val="both"/>
      </w:pPr>
    </w:p>
    <w:p w:rsidR="004B5104" w:rsidRDefault="004B5104">
      <w:pPr>
        <w:pStyle w:val="Vchodzie"/>
        <w:widowControl/>
      </w:pPr>
      <w:r>
        <w:rPr>
          <w:rFonts w:cs="Times New Roman"/>
          <w:b/>
          <w:bCs/>
        </w:rPr>
        <w:t>Udelenie Ceny mesta Košice pre jednotlivcov a kolektívy pri príležitosti osláv Dňa mesta Košice v roku 2013</w:t>
      </w:r>
    </w:p>
    <w:p w:rsidR="004B5104" w:rsidRDefault="004B5104">
      <w:pPr>
        <w:pStyle w:val="Vchodzie"/>
        <w:widowControl/>
      </w:pPr>
      <w:r>
        <w:rPr>
          <w:rFonts w:cs="Times New Roman"/>
        </w:rPr>
        <w:t>MZ udelilo Cenu mesta Košice v roku 2013 :</w:t>
      </w:r>
    </w:p>
    <w:p w:rsidR="004B5104" w:rsidRDefault="004B5104">
      <w:pPr>
        <w:pStyle w:val="Vchodzie"/>
        <w:widowControl/>
      </w:pPr>
      <w:r>
        <w:rPr>
          <w:rFonts w:cs="Times New Roman"/>
        </w:rPr>
        <w:t>a) jednotlivcom :</w:t>
      </w:r>
    </w:p>
    <w:p w:rsidR="004B5104" w:rsidRDefault="004B5104">
      <w:pPr>
        <w:pStyle w:val="Vchodzie"/>
        <w:widowControl/>
        <w:jc w:val="both"/>
      </w:pPr>
      <w:r>
        <w:rPr>
          <w:rFonts w:cs="Times New Roman"/>
        </w:rPr>
        <w:t xml:space="preserve">    1.  </w:t>
      </w:r>
      <w:r>
        <w:rPr>
          <w:rFonts w:cs="Times New Roman"/>
          <w:lang w:eastAsia="en-US"/>
        </w:rPr>
        <w:t>MUDr. Michalovi Becovi</w:t>
      </w:r>
    </w:p>
    <w:p w:rsidR="004B5104" w:rsidRDefault="004B5104">
      <w:pPr>
        <w:pStyle w:val="Vchodzie"/>
        <w:widowControl/>
        <w:jc w:val="both"/>
      </w:pPr>
      <w:r>
        <w:rPr>
          <w:rFonts w:cs="Times New Roman"/>
        </w:rPr>
        <w:t xml:space="preserve">    2.  </w:t>
      </w:r>
      <w:r>
        <w:rPr>
          <w:rFonts w:cs="Times New Roman"/>
          <w:lang w:eastAsia="en-US"/>
        </w:rPr>
        <w:t>prof. MUDr. Márii Frankovičovej, PhD.</w:t>
      </w:r>
    </w:p>
    <w:p w:rsidR="004B5104" w:rsidRDefault="004B5104">
      <w:pPr>
        <w:pStyle w:val="Vchodzie"/>
        <w:widowControl/>
        <w:jc w:val="both"/>
      </w:pPr>
      <w:r>
        <w:rPr>
          <w:rFonts w:cs="Times New Roman"/>
        </w:rPr>
        <w:t xml:space="preserve">    3.  </w:t>
      </w:r>
      <w:r>
        <w:rPr>
          <w:rFonts w:cs="Times New Roman"/>
          <w:lang w:eastAsia="en-US"/>
        </w:rPr>
        <w:t>Ing. Ferencovi Magyarovi, PhD.</w:t>
      </w:r>
    </w:p>
    <w:p w:rsidR="004B5104" w:rsidRDefault="004B5104">
      <w:pPr>
        <w:pStyle w:val="Vchodzie"/>
        <w:widowControl/>
        <w:jc w:val="both"/>
      </w:pPr>
      <w:r>
        <w:rPr>
          <w:rFonts w:cs="Times New Roman"/>
        </w:rPr>
        <w:t xml:space="preserve">    4.  RNDr. Jozefovi Ondášovi, CSc., MBA</w:t>
      </w:r>
    </w:p>
    <w:p w:rsidR="004B5104" w:rsidRDefault="004B5104">
      <w:pPr>
        <w:pStyle w:val="Vchodzie"/>
        <w:widowControl/>
        <w:jc w:val="both"/>
      </w:pPr>
      <w:r>
        <w:rPr>
          <w:rFonts w:cs="Times New Roman"/>
        </w:rPr>
        <w:t xml:space="preserve">    5.  </w:t>
      </w:r>
      <w:r>
        <w:rPr>
          <w:rFonts w:cs="Times New Roman"/>
          <w:lang w:eastAsia="en-US"/>
        </w:rPr>
        <w:t>Doc. PhDr. Jozefovi Suláčkovi, CSc.</w:t>
      </w:r>
    </w:p>
    <w:p w:rsidR="004B5104" w:rsidRDefault="004B5104">
      <w:pPr>
        <w:pStyle w:val="Vchodzie"/>
        <w:widowControl/>
        <w:jc w:val="both"/>
      </w:pPr>
      <w:r>
        <w:rPr>
          <w:rFonts w:cs="Times New Roman"/>
        </w:rPr>
        <w:t xml:space="preserve">    6.  </w:t>
      </w:r>
      <w:r>
        <w:rPr>
          <w:rFonts w:cs="Times New Roman"/>
          <w:lang w:eastAsia="en-US"/>
        </w:rPr>
        <w:t>MUDr. Dagmare Takácsovej</w:t>
      </w:r>
    </w:p>
    <w:p w:rsidR="004B5104" w:rsidRDefault="004B5104">
      <w:pPr>
        <w:pStyle w:val="Vchodzie"/>
        <w:widowControl/>
        <w:jc w:val="both"/>
      </w:pPr>
      <w:r>
        <w:rPr>
          <w:rFonts w:cs="Times New Roman"/>
        </w:rPr>
        <w:t xml:space="preserve">    7.  JUDr. Zdenkovi Trebuľovi</w:t>
      </w:r>
    </w:p>
    <w:p w:rsidR="004B5104" w:rsidRDefault="004B5104">
      <w:pPr>
        <w:pStyle w:val="Vchodzie"/>
        <w:widowControl/>
      </w:pPr>
    </w:p>
    <w:p w:rsidR="004B5104" w:rsidRDefault="004B5104">
      <w:pPr>
        <w:pStyle w:val="Vchodzie"/>
        <w:widowControl/>
      </w:pPr>
      <w:r>
        <w:rPr>
          <w:rFonts w:cs="Times New Roman"/>
        </w:rPr>
        <w:t>b) kolektívom</w:t>
      </w:r>
    </w:p>
    <w:p w:rsidR="004B5104" w:rsidRDefault="004B5104">
      <w:pPr>
        <w:pStyle w:val="Vchodzie"/>
        <w:widowControl/>
        <w:ind w:left="284" w:hanging="284"/>
      </w:pPr>
      <w:r>
        <w:rPr>
          <w:rFonts w:cs="Times New Roman"/>
        </w:rPr>
        <w:t xml:space="preserve">1.  </w:t>
      </w:r>
      <w:r>
        <w:rPr>
          <w:rFonts w:cs="Times New Roman"/>
          <w:color w:val="000000"/>
          <w:lang w:eastAsia="en-US"/>
        </w:rPr>
        <w:t>Fakulte umení Technickej univerzity v Košiciach</w:t>
      </w:r>
      <w:r>
        <w:rPr>
          <w:rFonts w:cs="Times New Roman"/>
        </w:rPr>
        <w:t xml:space="preserve">  </w:t>
      </w:r>
    </w:p>
    <w:p w:rsidR="004B5104" w:rsidRDefault="004B5104">
      <w:pPr>
        <w:pStyle w:val="Vchodzie"/>
        <w:widowControl/>
      </w:pPr>
      <w:r>
        <w:rPr>
          <w:rFonts w:cs="Times New Roman"/>
        </w:rPr>
        <w:t xml:space="preserve">2.  </w:t>
      </w:r>
      <w:r>
        <w:rPr>
          <w:rFonts w:cs="Times New Roman"/>
          <w:lang w:eastAsia="en-US"/>
        </w:rPr>
        <w:t>Základnej škole Krosnianska 4, Košice.</w:t>
      </w:r>
    </w:p>
    <w:p w:rsidR="004B5104" w:rsidRDefault="004B5104">
      <w:pPr>
        <w:pStyle w:val="Vchodzie"/>
        <w:widowControl/>
        <w:jc w:val="both"/>
      </w:pPr>
    </w:p>
    <w:p w:rsidR="004B5104" w:rsidRDefault="004B5104">
      <w:pPr>
        <w:pStyle w:val="Vchodzie"/>
        <w:widowControl/>
      </w:pPr>
      <w:r>
        <w:rPr>
          <w:rFonts w:cs="Times New Roman"/>
          <w:b/>
          <w:i/>
          <w:iCs/>
        </w:rPr>
        <w:t>Doplnenie členov v radách škôl a školských zariadení v zriaďovateľskej pôsobnosti mesta Košice za zriaďovateľa</w:t>
      </w:r>
    </w:p>
    <w:p w:rsidR="004B5104" w:rsidRDefault="004B5104">
      <w:pPr>
        <w:pStyle w:val="Vchodzie"/>
        <w:widowControl/>
        <w:jc w:val="both"/>
      </w:pPr>
      <w:r>
        <w:rPr>
          <w:rFonts w:cs="Times New Roman"/>
        </w:rPr>
        <w:t>MZ delegovalo zástupcov mesta Košice do rád škôl a školských zariadení, ktorých zriaďovateľom je mesto Košice podľa prílohy.</w:t>
      </w:r>
    </w:p>
    <w:p w:rsidR="004B5104" w:rsidRDefault="004B5104">
      <w:pPr>
        <w:pStyle w:val="Vchodzie"/>
        <w:widowControl/>
        <w:jc w:val="center"/>
      </w:pPr>
    </w:p>
    <w:p w:rsidR="004B5104" w:rsidRDefault="004B5104">
      <w:pPr>
        <w:pStyle w:val="Vchodzie"/>
        <w:widowControl/>
      </w:pPr>
      <w:r>
        <w:rPr>
          <w:rFonts w:cs="Times New Roman"/>
          <w:b/>
          <w:i/>
          <w:iCs/>
        </w:rPr>
        <w:t>Informácia o výsledku kontroly Najvyššieho kontrolného úradu SR a o prijatých opatreniach v projekte „Komunitná sociálna práca v sociálne znevýhodnených lokalitách mesta Košice“</w:t>
      </w:r>
    </w:p>
    <w:p w:rsidR="004B5104" w:rsidRDefault="004B5104">
      <w:pPr>
        <w:pStyle w:val="Vchodzie"/>
        <w:widowControl/>
        <w:jc w:val="both"/>
      </w:pPr>
      <w:r>
        <w:rPr>
          <w:rFonts w:cs="Times New Roman"/>
        </w:rPr>
        <w:t>MZ vzalo na vedomie Informáciu o výsledku kontroly Najvyššieho kontrolného úradu SR a o prijatých opatreniach v projekte „Komunitná sociálna práca v sociálne znevýhodnených lokalitách mesta Košice“.</w:t>
      </w:r>
    </w:p>
    <w:p w:rsidR="004B5104" w:rsidRDefault="004B5104">
      <w:pPr>
        <w:pStyle w:val="Vchodzie"/>
        <w:widowControl/>
        <w:jc w:val="both"/>
      </w:pPr>
    </w:p>
    <w:p w:rsidR="004B5104" w:rsidRDefault="004B5104">
      <w:pPr>
        <w:pStyle w:val="Vchodzie"/>
        <w:widowControl/>
      </w:pPr>
      <w:r>
        <w:rPr>
          <w:rFonts w:cs="Times New Roman"/>
          <w:b/>
        </w:rPr>
        <w:t>Petícia občanov „Zachráňme trolejbusy“</w:t>
      </w:r>
    </w:p>
    <w:p w:rsidR="004B5104" w:rsidRDefault="004B5104">
      <w:pPr>
        <w:pStyle w:val="Vchodzie"/>
        <w:widowControl/>
      </w:pPr>
      <w:r>
        <w:rPr>
          <w:rFonts w:cs="Times New Roman"/>
        </w:rPr>
        <w:t>MZ vzalo na vedomie petíciu „Zachráňme trolejbusy“.</w:t>
      </w:r>
    </w:p>
    <w:p w:rsidR="004B5104" w:rsidRDefault="004B5104">
      <w:pPr>
        <w:pStyle w:val="Vchodzie"/>
        <w:widowControl/>
        <w:jc w:val="both"/>
      </w:pPr>
    </w:p>
    <w:p w:rsidR="004B5104" w:rsidRDefault="004B5104">
      <w:pPr>
        <w:pStyle w:val="Vchodzie"/>
        <w:widowControl/>
      </w:pPr>
      <w:r>
        <w:rPr>
          <w:rFonts w:cs="Times New Roman"/>
          <w:b/>
          <w:i/>
          <w:iCs/>
        </w:rPr>
        <w:t>Prenechanie časti priestorov v objekte na ZŠ Ľ. Podjavorinskej 1, Košice do nájmu Strednej odbornej škole technickej, Kukučínova 23, Košice ako prípad hodný osobitného zreteľa</w:t>
      </w:r>
    </w:p>
    <w:p w:rsidR="004B5104" w:rsidRDefault="004B5104">
      <w:pPr>
        <w:pStyle w:val="Vchodzie"/>
        <w:widowControl/>
        <w:jc w:val="both"/>
      </w:pPr>
      <w:r>
        <w:rPr>
          <w:rFonts w:cs="Times New Roman"/>
        </w:rPr>
        <w:t>MZ schválilo prenájom priestorov v objekte  ZŠ Ľ. Podjavorinskej 1, Košice v rozsahu 195 m</w:t>
      </w:r>
      <w:r>
        <w:rPr>
          <w:rFonts w:cs="Times New Roman"/>
          <w:vertAlign w:val="superscript"/>
        </w:rPr>
        <w:t>2</w:t>
      </w:r>
      <w:r>
        <w:rPr>
          <w:rFonts w:cs="Times New Roman"/>
        </w:rPr>
        <w:t xml:space="preserve"> vo výške 195,- Eur nájomcovi Stredná odborná škola technická, Kukučínova 23, Košice a sumy za platby súvisiace s užívaním priestorov - prevádzkové náklady ako prípad hodný osobitného zreteľa podľa § 9a ods. 9 písm. c) zákona č. 138/1991 Zb. o majetku obcí v znení neskorších predpisov. </w:t>
      </w:r>
    </w:p>
    <w:p w:rsidR="004B5104" w:rsidRDefault="004B5104">
      <w:pPr>
        <w:pStyle w:val="Vchodzie"/>
        <w:widowControl/>
        <w:jc w:val="both"/>
      </w:pPr>
    </w:p>
    <w:p w:rsidR="004B5104" w:rsidRDefault="004B5104">
      <w:pPr>
        <w:pStyle w:val="Vchodzie"/>
        <w:widowControl/>
      </w:pPr>
      <w:r>
        <w:rPr>
          <w:rFonts w:cs="Times New Roman"/>
          <w:b/>
          <w:i/>
          <w:iCs/>
        </w:rPr>
        <w:t>Prenechanie telocvične na ZŠ Tomášikova 31, Košice do nájmu Školskému športovému klubu JUGO Košice ako prípad hodný osobitného zreteľa</w:t>
      </w:r>
    </w:p>
    <w:p w:rsidR="004B5104" w:rsidRDefault="004B5104">
      <w:pPr>
        <w:pStyle w:val="Vchodzie"/>
        <w:widowControl/>
        <w:jc w:val="both"/>
      </w:pPr>
      <w:r>
        <w:rPr>
          <w:rFonts w:cs="Times New Roman"/>
        </w:rPr>
        <w:t xml:space="preserve">MZ schválilo prenájom malej telocvične na ZŠ Tomášikova 31, Košice nájomcovi „Školský športový klub JUGO Košice“ za nájomné vo výške 60,- Eur/školský rok  a prevádzkové náklady ako prípad hodný osobitného zreteľa podľa § 9a ods. 9 písm. c) zákona č. 138/1991 Zb. o majetku obcí v znení neskorších predpisov, z dôvodu všeobecného záujmu podporovať športové aktivity detí a tým prispievať k zdravému životnému štýlu a k zlepšeniu kvality života, v rozsahu najviac </w:t>
      </w:r>
    </w:p>
    <w:p w:rsidR="004B5104" w:rsidRDefault="004B5104">
      <w:pPr>
        <w:pStyle w:val="Vchodzie"/>
        <w:widowControl/>
        <w:jc w:val="both"/>
      </w:pPr>
      <w:r>
        <w:rPr>
          <w:rFonts w:cs="Times New Roman"/>
        </w:rPr>
        <w:t>3 hod./týždenne podľa časového rozvrhu schváleného riaditeľom školy.</w:t>
      </w:r>
    </w:p>
    <w:p w:rsidR="004B5104" w:rsidRDefault="004B5104">
      <w:pPr>
        <w:pStyle w:val="Vchodzie"/>
        <w:widowControl/>
      </w:pPr>
    </w:p>
    <w:p w:rsidR="004B5104" w:rsidRDefault="004B5104">
      <w:pPr>
        <w:pStyle w:val="Vchodzie"/>
        <w:widowControl/>
      </w:pPr>
      <w:r>
        <w:rPr>
          <w:rFonts w:cs="Times New Roman"/>
          <w:b/>
          <w:i/>
          <w:iCs/>
        </w:rPr>
        <w:t>Prenechanie telocvične na ZŠ Bukovecká 17, Košice do nájmu športovému klubu Volejbalový klub Šaca ako prípad hodný osobitného zreteľa</w:t>
      </w:r>
    </w:p>
    <w:p w:rsidR="004B5104" w:rsidRDefault="004B5104">
      <w:pPr>
        <w:pStyle w:val="Vchodzie"/>
        <w:widowControl/>
        <w:jc w:val="both"/>
      </w:pPr>
      <w:r>
        <w:rPr>
          <w:rFonts w:cs="Times New Roman"/>
        </w:rPr>
        <w:t xml:space="preserve">MZ schválilo prenájom telocvične na ZŠ Bukovecká 17, Košice nájomcovi „Volejbalový klub Šaca“ za nájomné vo výške 75,- Eur/školský rok  a prevádzkové náklady ako prípad hodný osobitného zreteľa podľa § 9a ods. 9 písm. c) zákona č. 138/1991 Zb. o majetku obcí v znení neskorších predpisov, z dôvodu všeobecného záujmu podporovať športové aktivity detí a tým prispievať k zdravému životnému štýlu a k zlepšeniu kvality života, v rozsahu najviac </w:t>
      </w:r>
    </w:p>
    <w:p w:rsidR="004B5104" w:rsidRDefault="004B5104">
      <w:pPr>
        <w:pStyle w:val="Vchodzie"/>
        <w:widowControl/>
        <w:jc w:val="both"/>
      </w:pPr>
      <w:r>
        <w:rPr>
          <w:rFonts w:cs="Times New Roman"/>
        </w:rPr>
        <w:t>3 hod./týždenne podľa časového rozvrhu schváleného riaditeľom školy.</w:t>
      </w:r>
    </w:p>
    <w:p w:rsidR="004B5104" w:rsidRDefault="004B5104">
      <w:pPr>
        <w:pStyle w:val="Vchodzie"/>
        <w:widowControl/>
        <w:jc w:val="both"/>
      </w:pPr>
    </w:p>
    <w:p w:rsidR="004B5104" w:rsidRDefault="004B5104">
      <w:pPr>
        <w:pStyle w:val="Vchodzie"/>
        <w:widowControl/>
      </w:pPr>
      <w:r>
        <w:rPr>
          <w:rFonts w:cs="Times New Roman"/>
          <w:b/>
          <w:i/>
          <w:iCs/>
        </w:rPr>
        <w:t xml:space="preserve">Zámena pozemkov v k. ú. </w:t>
      </w:r>
    </w:p>
    <w:p w:rsidR="004B5104" w:rsidRDefault="004B5104">
      <w:pPr>
        <w:pStyle w:val="Vchodzie"/>
        <w:widowControl/>
        <w:jc w:val="both"/>
      </w:pPr>
      <w:r>
        <w:rPr>
          <w:rFonts w:cs="Times New Roman"/>
        </w:rPr>
        <w:t>MZ schválilo zámenu nehnuteľností – viď. uznesenie č. 564, 565, 566.</w:t>
      </w:r>
    </w:p>
    <w:p w:rsidR="004B5104" w:rsidRDefault="004B5104">
      <w:pPr>
        <w:pStyle w:val="Vchodzie"/>
        <w:widowControl/>
        <w:jc w:val="both"/>
      </w:pPr>
    </w:p>
    <w:p w:rsidR="004B5104" w:rsidRDefault="004B5104">
      <w:pPr>
        <w:pStyle w:val="Vchodzie"/>
        <w:widowControl/>
      </w:pPr>
      <w:r>
        <w:rPr>
          <w:rFonts w:cs="Times New Roman"/>
          <w:b/>
          <w:i/>
          <w:iCs/>
        </w:rPr>
        <w:t>Udelenie súhlasu k realizácii stavby pre TEPELNÉ HOSPODÁRSTVO spoločnosť s ručením obmedzeným Košice a následné zriadenie vecného bremena</w:t>
      </w:r>
    </w:p>
    <w:p w:rsidR="004B5104" w:rsidRDefault="004B5104">
      <w:pPr>
        <w:pStyle w:val="Vchodzie"/>
        <w:widowControl/>
        <w:jc w:val="both"/>
      </w:pPr>
      <w:r>
        <w:rPr>
          <w:rFonts w:cs="Times New Roman"/>
        </w:rPr>
        <w:t>MZ schválilo :</w:t>
      </w:r>
    </w:p>
    <w:p w:rsidR="004B5104" w:rsidRDefault="004B5104">
      <w:pPr>
        <w:pStyle w:val="Vchodzie"/>
        <w:widowControl/>
        <w:ind w:left="360" w:hanging="360"/>
        <w:jc w:val="both"/>
      </w:pPr>
      <w:r>
        <w:rPr>
          <w:rFonts w:cs="Times New Roman"/>
        </w:rPr>
        <w:t>a)   udelenie súhlasu k realizácii stavby „TEHO - Zmena teplonosného média na sídlisku Nad jazerom Košice, II. etapa“ pre TEPELNÉ HOSPODÁRSTVO spoločnosť s ručením obmedzeným Košice,</w:t>
      </w:r>
    </w:p>
    <w:p w:rsidR="004B5104" w:rsidRDefault="004B5104">
      <w:pPr>
        <w:pStyle w:val="Vchodzie"/>
        <w:widowControl/>
        <w:ind w:left="360" w:hanging="360"/>
        <w:jc w:val="both"/>
      </w:pPr>
      <w:r>
        <w:rPr>
          <w:rFonts w:cs="Times New Roman"/>
        </w:rPr>
        <w:t xml:space="preserve">b) zriadenie vecného bremena na priznanie práva uloženia inžinierskych sietí </w:t>
      </w:r>
      <w:r>
        <w:rPr>
          <w:rFonts w:cs="Times New Roman"/>
        </w:rPr>
        <w:br/>
        <w:t>- horúcovodných rozvodov na pozemkoch vo vlastníctve  mesta Košice v  k. ú. Jazero špecifikovaných v prílohe č. 1 v rozsahu 6 940 m</w:t>
      </w:r>
      <w:r>
        <w:rPr>
          <w:rFonts w:cs="Times New Roman"/>
          <w:vertAlign w:val="superscript"/>
        </w:rPr>
        <w:t>2</w:t>
      </w:r>
      <w:r>
        <w:rPr>
          <w:rFonts w:cs="Times New Roman"/>
        </w:rPr>
        <w:t xml:space="preserve"> v prospech firmy TEPELNÉ HOSPODÁRSTVO spoločnosť s ručením obmedzeným Košice za jednorazovú náhradu za dočasné  užívanie pozemkov vo výške 9 369,- Eur a  jednorazovú náhradu za obmedzenie vo výkone vlastníckych práv stanovenú znaleckým posudkom navýšenú</w:t>
      </w:r>
      <w:r>
        <w:rPr>
          <w:rFonts w:cs="Times New Roman"/>
        </w:rPr>
        <w:br/>
        <w:t>o náklady mesta Košice súvisiace so zriadením vecného bremena v súlade s postupom schváleným Majetkovou komisiou Mestského zastupiteľstva v Košiciach dňa 24.05.2011.</w:t>
      </w:r>
    </w:p>
    <w:p w:rsidR="004B5104" w:rsidRDefault="004B5104">
      <w:pPr>
        <w:pStyle w:val="Vchodzie"/>
        <w:widowControl/>
        <w:ind w:left="360" w:hanging="360"/>
        <w:jc w:val="both"/>
      </w:pPr>
    </w:p>
    <w:p w:rsidR="004B5104" w:rsidRDefault="004B5104">
      <w:pPr>
        <w:pStyle w:val="Vchodzie"/>
        <w:widowControl/>
      </w:pPr>
      <w:r>
        <w:rPr>
          <w:rFonts w:cs="Times New Roman"/>
          <w:b/>
          <w:i/>
          <w:iCs/>
        </w:rPr>
        <w:t xml:space="preserve">Informácia o plnení uznesenia MZ č. 180 zo dňa 5.12.2011 - Nájom majetku za symbolické nájomné z dôvodu hodného osobitného zreteľa </w:t>
      </w:r>
    </w:p>
    <w:p w:rsidR="004B5104" w:rsidRDefault="004B5104">
      <w:pPr>
        <w:pStyle w:val="Vchodzie"/>
        <w:widowControl/>
        <w:jc w:val="both"/>
      </w:pPr>
      <w:r>
        <w:rPr>
          <w:rFonts w:cs="Times New Roman"/>
        </w:rPr>
        <w:t>MZ vzalo na vedomie informáciu o  plnení uznesenia Mestského zastupiteľstva v  Košiciach č. 180  zo dňa 5.12.2011.</w:t>
      </w:r>
    </w:p>
    <w:p w:rsidR="004B5104" w:rsidRDefault="004B5104">
      <w:pPr>
        <w:pStyle w:val="Vchodzie"/>
        <w:widowControl/>
      </w:pPr>
    </w:p>
    <w:p w:rsidR="004B5104" w:rsidRDefault="004B5104">
      <w:pPr>
        <w:pStyle w:val="Vchodzie"/>
        <w:widowControl/>
      </w:pPr>
      <w:r>
        <w:rPr>
          <w:rFonts w:cs="Times New Roman"/>
          <w:b/>
          <w:i/>
          <w:iCs/>
        </w:rPr>
        <w:t>Predaj prebytočného majetku mesta Košice ako prípad hodný osobitného zreteľa</w:t>
      </w:r>
      <w:r>
        <w:rPr>
          <w:rFonts w:cs="Times New Roman"/>
          <w:b/>
          <w:i/>
          <w:iCs/>
        </w:rPr>
        <w:br/>
        <w:t>firme S.V.I.M. s.r.o.</w:t>
      </w:r>
    </w:p>
    <w:p w:rsidR="004B5104" w:rsidRDefault="004B5104">
      <w:pPr>
        <w:pStyle w:val="Vchodzie"/>
        <w:widowControl/>
        <w:jc w:val="both"/>
      </w:pPr>
      <w:r>
        <w:rPr>
          <w:rFonts w:cs="Times New Roman"/>
        </w:rPr>
        <w:t xml:space="preserve">MZ schválilo priamy predaj nehnuteľného majetku zapísaného  na LV č. 14305 v k. ú. Terasa: </w:t>
      </w:r>
    </w:p>
    <w:p w:rsidR="004B5104" w:rsidRDefault="004B5104">
      <w:pPr>
        <w:pStyle w:val="Vchodzie"/>
        <w:widowControl/>
        <w:jc w:val="both"/>
      </w:pPr>
      <w:r>
        <w:rPr>
          <w:rFonts w:cs="Times New Roman"/>
        </w:rPr>
        <w:t xml:space="preserve">stavba - budova, súpisné číslo 497, nachádzajúca sa na parcele č. 2742, </w:t>
      </w:r>
    </w:p>
    <w:p w:rsidR="004B5104" w:rsidRDefault="004B5104">
      <w:pPr>
        <w:pStyle w:val="Vchodzie"/>
        <w:widowControl/>
        <w:jc w:val="both"/>
      </w:pPr>
      <w:r>
        <w:rPr>
          <w:rFonts w:cs="Times New Roman"/>
        </w:rPr>
        <w:t>stavba - budova súpisné číslo II.2425 nachádzajúca sa na parcele č. 2743/2,</w:t>
      </w:r>
    </w:p>
    <w:p w:rsidR="004B5104" w:rsidRDefault="004B5104">
      <w:pPr>
        <w:pStyle w:val="Vchodzie"/>
        <w:widowControl/>
        <w:jc w:val="both"/>
      </w:pPr>
      <w:r>
        <w:rPr>
          <w:rFonts w:cs="Times New Roman"/>
        </w:rPr>
        <w:t>pozemky - parcela č. 2742 o výmere 270 m</w:t>
      </w:r>
      <w:r>
        <w:rPr>
          <w:rFonts w:cs="Times New Roman"/>
          <w:vertAlign w:val="superscript"/>
        </w:rPr>
        <w:t>2</w:t>
      </w:r>
      <w:r>
        <w:rPr>
          <w:rFonts w:cs="Times New Roman"/>
        </w:rPr>
        <w:t>,  parcela č.  2743/2 o výmere 502 m</w:t>
      </w:r>
      <w:r>
        <w:rPr>
          <w:rFonts w:cs="Times New Roman"/>
          <w:vertAlign w:val="superscript"/>
        </w:rPr>
        <w:t>2</w:t>
      </w:r>
      <w:r>
        <w:rPr>
          <w:rFonts w:cs="Times New Roman"/>
        </w:rPr>
        <w:t xml:space="preserve"> a parcela </w:t>
      </w:r>
      <w:r>
        <w:rPr>
          <w:rFonts w:cs="Times New Roman"/>
        </w:rPr>
        <w:br/>
        <w:t>č. 2744/2 o výmere 1745 m</w:t>
      </w:r>
      <w:r>
        <w:rPr>
          <w:rFonts w:cs="Times New Roman"/>
          <w:vertAlign w:val="superscript"/>
        </w:rPr>
        <w:t>2</w:t>
      </w:r>
      <w:r>
        <w:rPr>
          <w:rFonts w:cs="Times New Roman"/>
        </w:rPr>
        <w:t xml:space="preserve">, ako prípad hodný osobitného zreteľa firme S.V.I.M. s.r.o., </w:t>
      </w:r>
    </w:p>
    <w:p w:rsidR="004B5104" w:rsidRDefault="004B5104">
      <w:pPr>
        <w:pStyle w:val="Vchodzie"/>
        <w:widowControl/>
        <w:jc w:val="both"/>
      </w:pPr>
      <w:r>
        <w:rPr>
          <w:rFonts w:cs="Times New Roman"/>
        </w:rPr>
        <w:t>IČO 36 173 070, so sídlom v Košiciach za cenu 340 000,- Eur.</w:t>
      </w:r>
    </w:p>
    <w:p w:rsidR="004B5104" w:rsidRDefault="004B5104">
      <w:pPr>
        <w:pStyle w:val="Vchodzie"/>
        <w:widowControl/>
        <w:jc w:val="both"/>
      </w:pPr>
    </w:p>
    <w:p w:rsidR="004B5104" w:rsidRDefault="004B5104">
      <w:pPr>
        <w:pStyle w:val="Vchodzie"/>
        <w:widowControl/>
        <w:jc w:val="both"/>
      </w:pPr>
      <w:r>
        <w:rPr>
          <w:rFonts w:cs="Times New Roman"/>
        </w:rPr>
        <w:t>Prípad hodný osobitného zreteľa spočíva v tom, že priamy predaj prebytočného nehnuteľného majetku firme S.V.I.M. s.r.o. odstraňuje existujúce závady na tomto majetku. Firma S.V.I.M. s.r.o. ako dlhodobý nájomca majetku  vykonala na ňom rozsiahle investície, ktoré sa prejavujú ako závady na ňom viaznuce,  spočívajúce v povinnosti vlastníka majetku vyplatiť nájomcovi protihodnotu toho, o čo sa zvýšila hodnota veci.</w:t>
      </w:r>
    </w:p>
    <w:p w:rsidR="004B5104" w:rsidRDefault="004B5104">
      <w:pPr>
        <w:pStyle w:val="Vchodzie"/>
        <w:widowControl/>
        <w:jc w:val="both"/>
      </w:pPr>
    </w:p>
    <w:p w:rsidR="004B5104" w:rsidRDefault="004B5104">
      <w:pPr>
        <w:pStyle w:val="Vchodzie"/>
        <w:widowControl/>
        <w:jc w:val="both"/>
      </w:pPr>
      <w:r>
        <w:rPr>
          <w:rFonts w:cs="Times New Roman"/>
          <w:b/>
          <w:i/>
          <w:iCs/>
        </w:rPr>
        <w:t xml:space="preserve">Učenie spôsobu prevodu pozemku parc. č. 7267/1 v k. ú. Krásna priamym predajom </w:t>
      </w:r>
      <w:r>
        <w:rPr>
          <w:rFonts w:cs="Times New Roman"/>
          <w:b/>
          <w:i/>
          <w:iCs/>
          <w:lang w:eastAsia="en-US"/>
        </w:rPr>
        <w:t xml:space="preserve">  </w:t>
      </w:r>
    </w:p>
    <w:p w:rsidR="004B5104" w:rsidRDefault="004B5104">
      <w:pPr>
        <w:pStyle w:val="Vchodzie"/>
        <w:widowControl/>
        <w:jc w:val="both"/>
      </w:pPr>
      <w:r>
        <w:rPr>
          <w:rFonts w:cs="Times New Roman"/>
        </w:rPr>
        <w:t>MZ schválilo spôsob prevodu nehnuteľného majetku vo vlastníctve mesta Košice  - priamy predaj pozemku registra KN-C parc. č. 7267/1 s výmerou 5 m</w:t>
      </w:r>
      <w:r>
        <w:rPr>
          <w:rFonts w:cs="Times New Roman"/>
          <w:vertAlign w:val="superscript"/>
        </w:rPr>
        <w:t>2</w:t>
      </w:r>
      <w:r>
        <w:rPr>
          <w:rFonts w:cs="Times New Roman"/>
        </w:rPr>
        <w:t xml:space="preserve"> v k. ú. Krásna.    </w:t>
      </w:r>
    </w:p>
    <w:p w:rsidR="004B5104" w:rsidRDefault="004B5104">
      <w:pPr>
        <w:pStyle w:val="Vchodzie"/>
        <w:widowControl/>
        <w:jc w:val="both"/>
      </w:pPr>
    </w:p>
    <w:p w:rsidR="004B5104" w:rsidRDefault="004B5104">
      <w:pPr>
        <w:pStyle w:val="Vchodzie"/>
        <w:widowControl/>
      </w:pPr>
      <w:r>
        <w:rPr>
          <w:rFonts w:cs="Times New Roman"/>
          <w:b/>
          <w:i/>
          <w:iCs/>
          <w:lang w:eastAsia="en-US"/>
        </w:rPr>
        <w:t>Zmena uznesenia MZ č. 270 zo dňa 23. apríla 2012 – Určenie spôsobu prevodu  nehnuteľností</w:t>
      </w:r>
    </w:p>
    <w:p w:rsidR="004B5104" w:rsidRDefault="004B5104">
      <w:pPr>
        <w:pStyle w:val="Vchodzie"/>
        <w:widowControl/>
      </w:pPr>
      <w:r>
        <w:rPr>
          <w:rFonts w:cs="Times New Roman"/>
          <w:b/>
          <w:i/>
          <w:iCs/>
          <w:lang w:eastAsia="en-US"/>
        </w:rPr>
        <w:t>– OC III na Hemerkovej č. 39 formou dobrovoľnej dražby</w:t>
      </w:r>
    </w:p>
    <w:p w:rsidR="004B5104" w:rsidRDefault="004B5104">
      <w:pPr>
        <w:pStyle w:val="PlainText"/>
      </w:pPr>
      <w:r>
        <w:rPr>
          <w:rFonts w:ascii="Times New Roman" w:hAnsi="Times New Roman"/>
          <w:sz w:val="24"/>
          <w:szCs w:val="24"/>
        </w:rPr>
        <w:t xml:space="preserve">MZ menilo </w:t>
      </w:r>
      <w:r>
        <w:rPr>
          <w:rFonts w:ascii="Times New Roman" w:hAnsi="Times New Roman"/>
          <w:sz w:val="24"/>
          <w:szCs w:val="24"/>
          <w:lang w:eastAsia="cs-CZ"/>
        </w:rPr>
        <w:t xml:space="preserve">uznesenie MZ v Košiciach č. 270 zo </w:t>
      </w:r>
      <w:r>
        <w:rPr>
          <w:rFonts w:ascii="Times New Roman" w:hAnsi="Times New Roman"/>
          <w:sz w:val="24"/>
          <w:szCs w:val="24"/>
          <w:lang w:eastAsia="en-US"/>
        </w:rPr>
        <w:t xml:space="preserve">dňa 23. apríla 2012 v časti </w:t>
      </w:r>
      <w:r>
        <w:rPr>
          <w:rFonts w:ascii="Times New Roman" w:hAnsi="Times New Roman"/>
          <w:sz w:val="24"/>
          <w:szCs w:val="24"/>
          <w:lang w:eastAsia="cs-CZ"/>
        </w:rPr>
        <w:t xml:space="preserve">schvaľuje nasledovne: slová „s najnižším podaním vo výške 3 914 060 €“ sa nahrádzajú slovami „s najnižším podaním </w:t>
      </w:r>
    </w:p>
    <w:p w:rsidR="004B5104" w:rsidRDefault="004B5104">
      <w:pPr>
        <w:pStyle w:val="PlainText"/>
      </w:pPr>
      <w:r>
        <w:rPr>
          <w:rFonts w:ascii="Times New Roman" w:hAnsi="Times New Roman"/>
          <w:sz w:val="24"/>
          <w:szCs w:val="24"/>
          <w:lang w:eastAsia="cs-CZ"/>
        </w:rPr>
        <w:t>vo výške 2 952 600 €“.</w:t>
      </w:r>
    </w:p>
    <w:p w:rsidR="004B5104" w:rsidRDefault="004B5104">
      <w:pPr>
        <w:pStyle w:val="Vchodzie"/>
        <w:widowControl/>
        <w:jc w:val="both"/>
      </w:pPr>
    </w:p>
    <w:p w:rsidR="004B5104" w:rsidRDefault="004B5104">
      <w:pPr>
        <w:pStyle w:val="Vchodzie"/>
        <w:widowControl/>
      </w:pPr>
      <w:r>
        <w:rPr>
          <w:rFonts w:cs="Times New Roman"/>
          <w:b/>
          <w:i/>
          <w:iCs/>
        </w:rPr>
        <w:t>Prevod spoluvlastníckeho podielu mesta Košice na nehnuteľnostiach v k. ú. Myslava podielovému spoluvlastníkovi Pavlovi Tkáčikovi a Angele Tkáčikovej</w:t>
      </w:r>
    </w:p>
    <w:p w:rsidR="004B5104" w:rsidRDefault="004B5104">
      <w:pPr>
        <w:pStyle w:val="Vchodzie"/>
        <w:widowControl/>
        <w:jc w:val="both"/>
      </w:pPr>
      <w:r>
        <w:rPr>
          <w:rFonts w:cs="Times New Roman"/>
        </w:rPr>
        <w:t>MZ schválilo prevod  spoluvlastníckeho podielu mesta Košice  vo výške 1/2 k celku na nehnuteľnostiach – pozemkoch registra KN-C parc. č. 1724/47, záhrady s výmerou 315 m</w:t>
      </w:r>
      <w:r>
        <w:rPr>
          <w:rFonts w:cs="Times New Roman"/>
          <w:vertAlign w:val="superscript"/>
        </w:rPr>
        <w:t>2</w:t>
      </w:r>
      <w:r>
        <w:rPr>
          <w:rFonts w:cs="Times New Roman"/>
        </w:rPr>
        <w:t xml:space="preserve">,  </w:t>
      </w:r>
    </w:p>
    <w:p w:rsidR="004B5104" w:rsidRDefault="004B5104">
      <w:pPr>
        <w:pStyle w:val="Vchodzie"/>
        <w:widowControl/>
        <w:jc w:val="both"/>
      </w:pPr>
      <w:r>
        <w:rPr>
          <w:rFonts w:cs="Times New Roman"/>
        </w:rPr>
        <w:t>parc. č. 1724/281, záhrady s výmerou 11 m</w:t>
      </w:r>
      <w:r>
        <w:rPr>
          <w:rFonts w:cs="Times New Roman"/>
          <w:vertAlign w:val="superscript"/>
        </w:rPr>
        <w:t>2</w:t>
      </w:r>
      <w:r>
        <w:rPr>
          <w:rFonts w:cs="Times New Roman"/>
        </w:rPr>
        <w:t>, parc. č. 1724/382 záhrady s výmerou 11 m</w:t>
      </w:r>
      <w:r>
        <w:rPr>
          <w:rFonts w:cs="Times New Roman"/>
          <w:vertAlign w:val="superscript"/>
        </w:rPr>
        <w:t>2</w:t>
      </w:r>
      <w:r>
        <w:rPr>
          <w:rFonts w:cs="Times New Roman"/>
        </w:rPr>
        <w:t xml:space="preserve"> a </w:t>
      </w:r>
    </w:p>
    <w:p w:rsidR="004B5104" w:rsidRDefault="004B5104">
      <w:pPr>
        <w:pStyle w:val="Vchodzie"/>
        <w:widowControl/>
        <w:jc w:val="both"/>
      </w:pPr>
      <w:r>
        <w:rPr>
          <w:rFonts w:cs="Times New Roman"/>
        </w:rPr>
        <w:t>parc. č. 1724/464, záhrady s výmerou 29 m</w:t>
      </w:r>
      <w:r>
        <w:rPr>
          <w:rFonts w:cs="Times New Roman"/>
          <w:vertAlign w:val="superscript"/>
        </w:rPr>
        <w:t>2</w:t>
      </w:r>
      <w:r>
        <w:rPr>
          <w:rFonts w:cs="Times New Roman"/>
        </w:rPr>
        <w:t xml:space="preserve"> v k. ú. Myslava podielovému spoluvlastníkovi Pavlovi Tkáčikovi a Angele Tkáčikovej, ktorým sa realizuje uplatnené zákonné predkupné právo, za kúpnu cenu vo výške 3 111,- Eur.</w:t>
      </w:r>
    </w:p>
    <w:p w:rsidR="004B5104" w:rsidRDefault="004B5104">
      <w:pPr>
        <w:pStyle w:val="Vchodzie"/>
        <w:widowControl/>
        <w:jc w:val="both"/>
      </w:pPr>
    </w:p>
    <w:p w:rsidR="004B5104" w:rsidRDefault="004B5104">
      <w:pPr>
        <w:pStyle w:val="Vchodzie"/>
        <w:widowControl/>
      </w:pPr>
      <w:r>
        <w:rPr>
          <w:rFonts w:cs="Times New Roman"/>
          <w:b/>
          <w:i/>
          <w:iCs/>
        </w:rPr>
        <w:t xml:space="preserve">Priamy predaj pozemku v k. ú. </w:t>
      </w:r>
    </w:p>
    <w:p w:rsidR="004B5104" w:rsidRDefault="004B5104">
      <w:pPr>
        <w:pStyle w:val="PlainText"/>
      </w:pPr>
      <w:r>
        <w:rPr>
          <w:rFonts w:ascii="Times New Roman" w:hAnsi="Times New Roman"/>
          <w:sz w:val="24"/>
          <w:szCs w:val="24"/>
        </w:rPr>
        <w:t>MZ schválilo priamy  predaj  pozemku - viď. uznesenie č. 574, 575.</w:t>
      </w:r>
    </w:p>
    <w:p w:rsidR="004B5104" w:rsidRDefault="004B5104">
      <w:pPr>
        <w:pStyle w:val="Vchodzie"/>
        <w:widowControl/>
        <w:jc w:val="both"/>
      </w:pPr>
    </w:p>
    <w:p w:rsidR="004B5104" w:rsidRDefault="004B5104">
      <w:pPr>
        <w:pStyle w:val="Vchodzie"/>
        <w:widowControl/>
      </w:pPr>
      <w:r>
        <w:rPr>
          <w:rFonts w:cs="Times New Roman"/>
          <w:b/>
          <w:i/>
          <w:iCs/>
        </w:rPr>
        <w:t xml:space="preserve">Priamy predaj spoluvlastníckeho podielu budovy </w:t>
      </w:r>
    </w:p>
    <w:p w:rsidR="004B5104" w:rsidRDefault="004B5104">
      <w:pPr>
        <w:pStyle w:val="PlainText"/>
        <w:jc w:val="both"/>
      </w:pPr>
      <w:r>
        <w:rPr>
          <w:rFonts w:ascii="Times New Roman" w:hAnsi="Times New Roman"/>
          <w:sz w:val="24"/>
          <w:szCs w:val="24"/>
        </w:rPr>
        <w:t>MZ schválilo priamy predaj spoluvlastníckeho podielu budovy - viď. uznesenie č. 574, 575.</w:t>
      </w:r>
    </w:p>
    <w:p w:rsidR="004B5104" w:rsidRDefault="004B5104">
      <w:pPr>
        <w:pStyle w:val="Vchodzie"/>
        <w:widowControl/>
        <w:ind w:left="360" w:hanging="360"/>
        <w:jc w:val="both"/>
      </w:pPr>
    </w:p>
    <w:p w:rsidR="004B5104" w:rsidRDefault="004B5104">
      <w:pPr>
        <w:pStyle w:val="Vchodzie"/>
        <w:widowControl/>
        <w:jc w:val="both"/>
      </w:pPr>
    </w:p>
    <w:p w:rsidR="004B5104" w:rsidRDefault="004B5104">
      <w:pPr>
        <w:pStyle w:val="Vchodzie"/>
      </w:pPr>
      <w:r>
        <w:rPr>
          <w:lang w:eastAsia="cs-CZ"/>
        </w:rPr>
        <w:t>___________________________________</w:t>
      </w:r>
    </w:p>
    <w:p w:rsidR="004B5104" w:rsidRDefault="004B5104">
      <w:pPr>
        <w:pStyle w:val="Vchodzie"/>
      </w:pPr>
      <w:r>
        <w:rPr>
          <w:i/>
          <w:sz w:val="20"/>
          <w:lang w:eastAsia="cs-CZ"/>
        </w:rPr>
        <w:t>Uznesenie</w:t>
      </w:r>
      <w:r>
        <w:rPr>
          <w:rFonts w:cs="Times New Roman"/>
          <w:i/>
          <w:sz w:val="20"/>
          <w:lang w:eastAsia="cs-CZ"/>
        </w:rPr>
        <w:t xml:space="preserve"> </w:t>
      </w:r>
      <w:r>
        <w:rPr>
          <w:i/>
          <w:sz w:val="20"/>
          <w:lang w:eastAsia="cs-CZ"/>
        </w:rPr>
        <w:t>MZ</w:t>
      </w:r>
      <w:r>
        <w:rPr>
          <w:rFonts w:cs="Times New Roman"/>
          <w:i/>
          <w:sz w:val="20"/>
          <w:lang w:eastAsia="cs-CZ"/>
        </w:rPr>
        <w:t xml:space="preserve"> </w:t>
      </w:r>
      <w:r>
        <w:rPr>
          <w:i/>
          <w:sz w:val="20"/>
          <w:lang w:eastAsia="cs-CZ"/>
        </w:rPr>
        <w:t>sú</w:t>
      </w:r>
      <w:r>
        <w:rPr>
          <w:rFonts w:cs="Times New Roman"/>
          <w:i/>
          <w:sz w:val="20"/>
          <w:lang w:eastAsia="cs-CZ"/>
        </w:rPr>
        <w:t xml:space="preserve"> </w:t>
      </w:r>
      <w:r>
        <w:rPr>
          <w:i/>
          <w:sz w:val="20"/>
          <w:lang w:eastAsia="cs-CZ"/>
        </w:rPr>
        <w:t>k</w:t>
      </w:r>
      <w:r>
        <w:rPr>
          <w:rFonts w:cs="Times New Roman"/>
          <w:i/>
          <w:sz w:val="20"/>
          <w:lang w:eastAsia="cs-CZ"/>
        </w:rPr>
        <w:t xml:space="preserve"> </w:t>
      </w:r>
      <w:r>
        <w:rPr>
          <w:i/>
          <w:sz w:val="20"/>
          <w:lang w:eastAsia="cs-CZ"/>
        </w:rPr>
        <w:t>nahliadnutiu</w:t>
      </w:r>
      <w:r>
        <w:rPr>
          <w:rFonts w:cs="Times New Roman"/>
          <w:i/>
          <w:sz w:val="20"/>
          <w:lang w:eastAsia="cs-CZ"/>
        </w:rPr>
        <w:t xml:space="preserve"> </w:t>
      </w:r>
      <w:r>
        <w:rPr>
          <w:i/>
          <w:sz w:val="20"/>
          <w:lang w:eastAsia="cs-CZ"/>
        </w:rPr>
        <w:t>na</w:t>
      </w:r>
      <w:r>
        <w:rPr>
          <w:rFonts w:cs="Times New Roman"/>
          <w:i/>
          <w:sz w:val="20"/>
          <w:lang w:eastAsia="cs-CZ"/>
        </w:rPr>
        <w:t xml:space="preserve"> </w:t>
      </w:r>
      <w:r>
        <w:rPr>
          <w:i/>
          <w:sz w:val="20"/>
          <w:lang w:eastAsia="cs-CZ"/>
        </w:rPr>
        <w:t>sekretariáte</w:t>
      </w:r>
      <w:r>
        <w:rPr>
          <w:rFonts w:cs="Times New Roman"/>
          <w:i/>
          <w:sz w:val="20"/>
          <w:lang w:eastAsia="cs-CZ"/>
        </w:rPr>
        <w:t xml:space="preserve"> </w:t>
      </w:r>
      <w:r>
        <w:rPr>
          <w:i/>
          <w:sz w:val="20"/>
          <w:lang w:eastAsia="cs-CZ"/>
        </w:rPr>
        <w:t>MÚ</w:t>
      </w:r>
    </w:p>
    <w:p w:rsidR="004B5104" w:rsidRDefault="004B5104">
      <w:pPr>
        <w:pStyle w:val="Vchodzie"/>
      </w:pPr>
    </w:p>
    <w:p w:rsidR="004B5104" w:rsidRDefault="004B5104">
      <w:pPr>
        <w:pStyle w:val="Vchodzie"/>
      </w:pPr>
      <w:r>
        <w:rPr>
          <w:i/>
          <w:sz w:val="20"/>
          <w:lang w:eastAsia="cs-CZ"/>
        </w:rPr>
        <w:t>Košice</w:t>
      </w:r>
      <w:r>
        <w:rPr>
          <w:rFonts w:cs="Times New Roman"/>
          <w:i/>
          <w:sz w:val="20"/>
          <w:lang w:eastAsia="cs-CZ"/>
        </w:rPr>
        <w:t xml:space="preserve"> </w:t>
      </w:r>
      <w:r>
        <w:rPr>
          <w:i/>
          <w:sz w:val="20"/>
          <w:lang w:eastAsia="cs-CZ"/>
        </w:rPr>
        <w:t>28.</w:t>
      </w:r>
      <w:r>
        <w:rPr>
          <w:rFonts w:cs="Times New Roman"/>
          <w:i/>
          <w:sz w:val="20"/>
          <w:lang w:eastAsia="cs-CZ"/>
        </w:rPr>
        <w:t xml:space="preserve"> február  20</w:t>
      </w:r>
      <w:r>
        <w:rPr>
          <w:i/>
          <w:sz w:val="20"/>
          <w:lang w:eastAsia="cs-CZ"/>
        </w:rPr>
        <w:t xml:space="preserve">13  </w:t>
      </w:r>
      <w:r>
        <w:rPr>
          <w:rFonts w:cs="Times New Roman"/>
          <w:i/>
          <w:sz w:val="20"/>
          <w:lang w:eastAsia="cs-CZ"/>
        </w:rPr>
        <w:t xml:space="preserve">    </w:t>
      </w:r>
    </w:p>
    <w:p w:rsidR="004B5104" w:rsidRDefault="004B5104">
      <w:pPr>
        <w:pStyle w:val="Vchodzie"/>
        <w:widowControl/>
      </w:pPr>
      <w:r>
        <w:rPr>
          <w:i/>
          <w:sz w:val="20"/>
          <w:lang w:eastAsia="cs-CZ"/>
        </w:rPr>
        <w:t>Spracovala</w:t>
      </w:r>
      <w:r>
        <w:rPr>
          <w:rFonts w:cs="Times New Roman"/>
          <w:i/>
          <w:sz w:val="20"/>
          <w:lang w:eastAsia="cs-CZ"/>
        </w:rPr>
        <w:t xml:space="preserve"> </w:t>
      </w:r>
      <w:r>
        <w:rPr>
          <w:i/>
          <w:sz w:val="20"/>
          <w:lang w:eastAsia="cs-CZ"/>
        </w:rPr>
        <w:t>:</w:t>
      </w:r>
      <w:r>
        <w:rPr>
          <w:rFonts w:cs="Times New Roman"/>
          <w:i/>
          <w:sz w:val="20"/>
          <w:lang w:eastAsia="cs-CZ"/>
        </w:rPr>
        <w:t xml:space="preserve"> </w:t>
      </w:r>
      <w:r>
        <w:rPr>
          <w:i/>
          <w:sz w:val="20"/>
          <w:lang w:eastAsia="cs-CZ"/>
        </w:rPr>
        <w:t>Monika</w:t>
      </w:r>
      <w:r>
        <w:rPr>
          <w:rFonts w:cs="Times New Roman"/>
          <w:i/>
          <w:sz w:val="20"/>
          <w:lang w:eastAsia="cs-CZ"/>
        </w:rPr>
        <w:t xml:space="preserve"> </w:t>
      </w:r>
      <w:r>
        <w:rPr>
          <w:i/>
          <w:sz w:val="20"/>
          <w:lang w:eastAsia="cs-CZ"/>
        </w:rPr>
        <w:t xml:space="preserve">Hegyiová                                                         </w:t>
      </w:r>
    </w:p>
    <w:p w:rsidR="004B5104" w:rsidRDefault="004B5104">
      <w:pPr>
        <w:pStyle w:val="Vchodzie"/>
        <w:widowControl/>
        <w:jc w:val="both"/>
      </w:pPr>
    </w:p>
    <w:sectPr w:rsidR="004B5104" w:rsidSect="00D86BC7">
      <w:pgSz w:w="11905" w:h="16837"/>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ourier New">
    <w:panose1 w:val="02070309020205020404"/>
    <w:charset w:val="EE"/>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05592"/>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44610AE7"/>
    <w:multiLevelType w:val="multilevel"/>
    <w:tmpl w:val="FFFFFFFF"/>
    <w:lvl w:ilvl="0">
      <w:start w:val="1"/>
      <w:numFmt w:val="bullet"/>
      <w:lvlText w:val="l"/>
      <w:lvlJc w:val="left"/>
      <w:pPr>
        <w:ind w:left="720" w:hanging="360"/>
      </w:pPr>
      <w:rPr>
        <w:rFonts w:ascii="Wingdings" w:hAnsi="Wingdings" w:hint="default"/>
      </w:rPr>
    </w:lvl>
    <w:lvl w:ilvl="1">
      <w:start w:val="1"/>
      <w:numFmt w:val="bullet"/>
      <w:lvlText w:val="o"/>
      <w:lvlJc w:val="left"/>
      <w:pPr>
        <w:ind w:left="1080" w:hanging="360"/>
      </w:pPr>
      <w:rPr>
        <w:rFonts w:ascii="OpenSymbol" w:eastAsia="OpenSymbol" w:hint="default"/>
      </w:rPr>
    </w:lvl>
    <w:lvl w:ilvl="2">
      <w:start w:val="1"/>
      <w:numFmt w:val="bullet"/>
      <w:lvlText w:val="l"/>
      <w:lvlJc w:val="left"/>
      <w:pPr>
        <w:ind w:left="1440" w:hanging="360"/>
      </w:pPr>
      <w:rPr>
        <w:rFonts w:ascii="Wingdings" w:hAnsi="Wingdings" w:hint="default"/>
      </w:rPr>
    </w:lvl>
    <w:lvl w:ilvl="3">
      <w:start w:val="1"/>
      <w:numFmt w:val="bullet"/>
      <w:lvlText w:val="l"/>
      <w:lvlJc w:val="left"/>
      <w:pPr>
        <w:ind w:left="1800" w:hanging="360"/>
      </w:pPr>
      <w:rPr>
        <w:rFonts w:ascii="Wingdings" w:hAnsi="Wingdings" w:hint="default"/>
      </w:rPr>
    </w:lvl>
    <w:lvl w:ilvl="4">
      <w:start w:val="1"/>
      <w:numFmt w:val="bullet"/>
      <w:lvlText w:val="o"/>
      <w:lvlJc w:val="left"/>
      <w:pPr>
        <w:ind w:left="2160" w:hanging="360"/>
      </w:pPr>
      <w:rPr>
        <w:rFonts w:ascii="OpenSymbol" w:eastAsia="OpenSymbol" w:hint="default"/>
      </w:rPr>
    </w:lvl>
    <w:lvl w:ilvl="5">
      <w:start w:val="1"/>
      <w:numFmt w:val="bullet"/>
      <w:lvlText w:val="l"/>
      <w:lvlJc w:val="left"/>
      <w:pPr>
        <w:ind w:left="2520" w:hanging="360"/>
      </w:pPr>
      <w:rPr>
        <w:rFonts w:ascii="Wingdings" w:hAnsi="Wingdings" w:hint="default"/>
      </w:rPr>
    </w:lvl>
    <w:lvl w:ilvl="6">
      <w:start w:val="1"/>
      <w:numFmt w:val="bullet"/>
      <w:lvlText w:val="l"/>
      <w:lvlJc w:val="left"/>
      <w:pPr>
        <w:ind w:left="2880" w:hanging="360"/>
      </w:pPr>
      <w:rPr>
        <w:rFonts w:ascii="Wingdings" w:hAnsi="Wingdings" w:hint="default"/>
      </w:rPr>
    </w:lvl>
    <w:lvl w:ilvl="7">
      <w:start w:val="1"/>
      <w:numFmt w:val="bullet"/>
      <w:lvlText w:val="o"/>
      <w:lvlJc w:val="left"/>
      <w:pPr>
        <w:ind w:left="3240" w:hanging="360"/>
      </w:pPr>
      <w:rPr>
        <w:rFonts w:ascii="OpenSymbol" w:eastAsia="OpenSymbol" w:hint="default"/>
      </w:rPr>
    </w:lvl>
    <w:lvl w:ilvl="8">
      <w:start w:val="1"/>
      <w:numFmt w:val="bullet"/>
      <w:lvlText w:val="l"/>
      <w:lvlJc w:val="left"/>
      <w:pPr>
        <w:ind w:left="3600" w:hanging="360"/>
      </w:pPr>
      <w:rPr>
        <w:rFonts w:ascii="Wingdings" w:hAnsi="Wingdings" w:hint="default"/>
      </w:rPr>
    </w:lvl>
  </w:abstractNum>
  <w:abstractNum w:abstractNumId="2">
    <w:nsid w:val="771A7A22"/>
    <w:multiLevelType w:val="multilevel"/>
    <w:tmpl w:val="FFFFFFFF"/>
    <w:lvl w:ilvl="0">
      <w:start w:val="1"/>
      <w:numFmt w:val="lowerLetter"/>
      <w:lvlText w:val="%1)"/>
      <w:lvlJc w:val="left"/>
      <w:pPr>
        <w:ind w:left="72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440" w:hanging="36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right"/>
      <w:pPr>
        <w:ind w:left="2520" w:hanging="36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right"/>
      <w:pPr>
        <w:ind w:left="3600" w:hanging="360"/>
      </w:pPr>
      <w:rPr>
        <w:rFonts w:cs="Times New Roman"/>
      </w:rPr>
    </w:lvl>
  </w:abstractNum>
  <w:abstractNum w:abstractNumId="3">
    <w:nsid w:val="7B2A5FD5"/>
    <w:multiLevelType w:val="multilevel"/>
    <w:tmpl w:val="FFFFFFFF"/>
    <w:lvl w:ilvl="0">
      <w:start w:val="1"/>
      <w:numFmt w:val="lowerLetter"/>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6"/>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6BC7"/>
    <w:rsid w:val="000C60D1"/>
    <w:rsid w:val="004B5104"/>
    <w:rsid w:val="004E3BC1"/>
    <w:rsid w:val="0054544D"/>
    <w:rsid w:val="008B1D12"/>
    <w:rsid w:val="00BA6499"/>
    <w:rsid w:val="00C11682"/>
    <w:rsid w:val="00CA7C44"/>
    <w:rsid w:val="00D86BC7"/>
    <w:rsid w:val="00F377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82"/>
  </w:style>
  <w:style w:type="paragraph" w:styleId="Heading1">
    <w:name w:val="heading 1"/>
    <w:basedOn w:val="Nadpis"/>
    <w:next w:val="Telotextu"/>
    <w:link w:val="Heading1Char"/>
    <w:uiPriority w:val="99"/>
    <w:qFormat/>
    <w:rsid w:val="00D86BC7"/>
    <w:pPr>
      <w:widowControl/>
      <w:numPr>
        <w:numId w:val="1"/>
      </w:numPr>
      <w:spacing w:before="0" w:after="0"/>
      <w:ind w:left="0" w:firstLine="0"/>
      <w:outlineLvl w:val="0"/>
    </w:pPr>
    <w:rPr>
      <w:rFonts w:cs="Times New Roman"/>
      <w:sz w:val="24"/>
      <w:szCs w:val="20"/>
      <w:lang w:eastAsia="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customStyle="1" w:styleId="Vchodzie">
    <w:name w:val="Východzie"/>
    <w:uiPriority w:val="99"/>
    <w:rsid w:val="00D86BC7"/>
    <w:pPr>
      <w:widowControl w:val="0"/>
      <w:suppressAutoHyphens/>
    </w:pPr>
    <w:rPr>
      <w:rFonts w:cs="Tahoma"/>
      <w:sz w:val="24"/>
      <w:szCs w:val="24"/>
      <w:lang w:val="sk-SK" w:eastAsia="sk-SK"/>
    </w:rPr>
  </w:style>
  <w:style w:type="paragraph" w:customStyle="1" w:styleId="Nadpis">
    <w:name w:val="Nadpis"/>
    <w:basedOn w:val="Vchodzie"/>
    <w:next w:val="Telotextu"/>
    <w:uiPriority w:val="99"/>
    <w:rsid w:val="00D86BC7"/>
    <w:pPr>
      <w:keepNext/>
      <w:spacing w:before="240" w:after="120"/>
    </w:pPr>
    <w:rPr>
      <w:rFonts w:ascii="Arial" w:hAnsi="Arial"/>
      <w:sz w:val="28"/>
      <w:szCs w:val="28"/>
    </w:rPr>
  </w:style>
  <w:style w:type="paragraph" w:customStyle="1" w:styleId="Telotextu">
    <w:name w:val="Telo textu"/>
    <w:basedOn w:val="Vchodzie"/>
    <w:uiPriority w:val="99"/>
    <w:rsid w:val="00D86BC7"/>
    <w:pPr>
      <w:spacing w:after="120"/>
    </w:pPr>
  </w:style>
  <w:style w:type="paragraph" w:styleId="List">
    <w:name w:val="List"/>
    <w:basedOn w:val="Telotextu"/>
    <w:uiPriority w:val="99"/>
    <w:rsid w:val="00D86BC7"/>
  </w:style>
  <w:style w:type="paragraph" w:styleId="Caption">
    <w:name w:val="caption"/>
    <w:basedOn w:val="Vchodzie"/>
    <w:uiPriority w:val="99"/>
    <w:qFormat/>
    <w:rsid w:val="00D86BC7"/>
    <w:pPr>
      <w:suppressLineNumbers/>
      <w:spacing w:before="120" w:after="120"/>
    </w:pPr>
    <w:rPr>
      <w:i/>
      <w:iCs/>
    </w:rPr>
  </w:style>
  <w:style w:type="paragraph" w:customStyle="1" w:styleId="Index">
    <w:name w:val="Index"/>
    <w:basedOn w:val="Vchodzie"/>
    <w:uiPriority w:val="99"/>
    <w:rsid w:val="00D86BC7"/>
    <w:pPr>
      <w:suppressLineNumbers/>
    </w:pPr>
  </w:style>
  <w:style w:type="paragraph" w:styleId="ListParagraph">
    <w:name w:val="List Paragraph"/>
    <w:basedOn w:val="Normal"/>
    <w:uiPriority w:val="99"/>
    <w:qFormat/>
    <w:rsid w:val="00D86BC7"/>
    <w:pPr>
      <w:suppressAutoHyphens/>
      <w:spacing w:after="200"/>
      <w:ind w:left="720"/>
    </w:pPr>
    <w:rPr>
      <w:lang w:val="sk-SK"/>
    </w:rPr>
  </w:style>
  <w:style w:type="paragraph" w:customStyle="1" w:styleId="ZkladntextIMP">
    <w:name w:val="Základní text_IMP"/>
    <w:uiPriority w:val="99"/>
    <w:rsid w:val="00D86BC7"/>
    <w:pPr>
      <w:widowControl w:val="0"/>
      <w:suppressAutoHyphens/>
      <w:jc w:val="both"/>
    </w:pPr>
    <w:rPr>
      <w:sz w:val="24"/>
      <w:szCs w:val="24"/>
      <w:lang w:val="sk-SK" w:eastAsia="sk-SK"/>
    </w:rPr>
  </w:style>
  <w:style w:type="paragraph" w:styleId="Title">
    <w:name w:val="Title"/>
    <w:basedOn w:val="Nadpis"/>
    <w:next w:val="Podnzov"/>
    <w:link w:val="TitleChar"/>
    <w:uiPriority w:val="99"/>
    <w:qFormat/>
    <w:rsid w:val="00D86BC7"/>
    <w:pPr>
      <w:widowControl/>
      <w:spacing w:before="0" w:after="0"/>
      <w:jc w:val="center"/>
    </w:pPr>
    <w:rPr>
      <w:rFonts w:cs="Times New Roman"/>
      <w:b/>
      <w:bCs/>
      <w:sz w:val="24"/>
      <w:szCs w:val="24"/>
      <w:u w:val="single"/>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customStyle="1" w:styleId="Podnzov">
    <w:name w:val="Podnázov"/>
    <w:basedOn w:val="Nadpis"/>
    <w:next w:val="Telotextu"/>
    <w:uiPriority w:val="99"/>
    <w:rsid w:val="00D86BC7"/>
    <w:pPr>
      <w:jc w:val="center"/>
    </w:pPr>
    <w:rPr>
      <w:i/>
      <w:iCs/>
    </w:rPr>
  </w:style>
  <w:style w:type="paragraph" w:styleId="PlainText">
    <w:name w:val="Plain Text"/>
    <w:basedOn w:val="Normal"/>
    <w:link w:val="PlainTextChar"/>
    <w:uiPriority w:val="99"/>
    <w:rsid w:val="00D86BC7"/>
    <w:pPr>
      <w:suppressAutoHyphens/>
    </w:pPr>
    <w:rPr>
      <w:rFonts w:ascii="Courier New" w:hAnsi="Courier New"/>
      <w:sz w:val="20"/>
      <w:szCs w:val="20"/>
      <w:lang w:val="sk-SK" w:eastAsia="sk-SK"/>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styleId="Header">
    <w:name w:val="header"/>
    <w:basedOn w:val="Vchodzie"/>
    <w:link w:val="HeaderChar"/>
    <w:uiPriority w:val="99"/>
    <w:rsid w:val="00D86BC7"/>
    <w:pPr>
      <w:widowControl/>
      <w:suppressLineNumbers/>
      <w:tabs>
        <w:tab w:val="center" w:pos="4536"/>
        <w:tab w:val="right" w:pos="9072"/>
      </w:tabs>
    </w:pPr>
    <w:rPr>
      <w:rFonts w:cs="Times New Roman"/>
      <w:sz w:val="20"/>
      <w:szCs w:val="20"/>
      <w:lang w:eastAsia="cs-CZ"/>
    </w:rPr>
  </w:style>
  <w:style w:type="character" w:customStyle="1" w:styleId="HeaderChar">
    <w:name w:val="Header Char"/>
    <w:basedOn w:val="DefaultParagraphFont"/>
    <w:link w:val="Header"/>
    <w:uiPriority w:val="99"/>
    <w:semiHidden/>
    <w:locked/>
    <w:rPr>
      <w:rFonts w:cs="Times New Roman"/>
    </w:rPr>
  </w:style>
  <w:style w:type="paragraph" w:customStyle="1" w:styleId="Obsahtabuky">
    <w:name w:val="Obsah tabuľky"/>
    <w:basedOn w:val="Vchodzie"/>
    <w:uiPriority w:val="99"/>
    <w:rsid w:val="00D86BC7"/>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6</Pages>
  <Words>2347</Words>
  <Characters>13854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Informatívna správa </dc:title>
  <dc:subject/>
  <dc:creator/>
  <cp:keywords/>
  <dc:description/>
  <cp:lastModifiedBy>JKIRILAKOVA</cp:lastModifiedBy>
  <cp:revision>4</cp:revision>
  <cp:lastPrinted>2013-04-24T06:30:00Z</cp:lastPrinted>
  <dcterms:created xsi:type="dcterms:W3CDTF">2013-04-11T08:34:00Z</dcterms:created>
  <dcterms:modified xsi:type="dcterms:W3CDTF">2013-04-24T07:13:00Z</dcterms:modified>
</cp:coreProperties>
</file>