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92" w:rsidRDefault="000B5E92" w:rsidP="00A4512C">
      <w:pPr>
        <w:pStyle w:val="NormlnIMP"/>
        <w:jc w:val="center"/>
        <w:rPr>
          <w:b/>
          <w:i/>
          <w:sz w:val="40"/>
          <w:szCs w:val="40"/>
        </w:rPr>
      </w:pPr>
      <w:r w:rsidRPr="000E430A">
        <w:rPr>
          <w:b/>
          <w:i/>
          <w:sz w:val="40"/>
          <w:szCs w:val="40"/>
        </w:rPr>
        <w:t>Kontrola plnenia uznesení</w:t>
      </w:r>
    </w:p>
    <w:p w:rsidR="000B5E92" w:rsidRDefault="000B5E92" w:rsidP="00706C8E">
      <w:pPr>
        <w:tabs>
          <w:tab w:val="left" w:pos="851"/>
        </w:tabs>
        <w:rPr>
          <w:b/>
          <w:sz w:val="24"/>
        </w:rPr>
      </w:pPr>
    </w:p>
    <w:p w:rsidR="000B5E92" w:rsidRDefault="000B5E92" w:rsidP="00706C8E">
      <w:pPr>
        <w:tabs>
          <w:tab w:val="left" w:pos="851"/>
        </w:tabs>
        <w:rPr>
          <w:b/>
          <w:sz w:val="24"/>
        </w:rPr>
      </w:pPr>
      <w:r w:rsidRPr="007E3EFF">
        <w:rPr>
          <w:b/>
          <w:sz w:val="24"/>
        </w:rPr>
        <w:t>1</w:t>
      </w:r>
      <w:r>
        <w:rPr>
          <w:b/>
          <w:sz w:val="24"/>
        </w:rPr>
        <w:t>48</w:t>
      </w:r>
      <w:r w:rsidRPr="007E3EFF">
        <w:rPr>
          <w:b/>
          <w:sz w:val="24"/>
        </w:rPr>
        <w:tab/>
      </w:r>
      <w:r>
        <w:rPr>
          <w:b/>
          <w:sz w:val="24"/>
        </w:rPr>
        <w:t xml:space="preserve">Kontrola plnenia uznesení </w:t>
      </w:r>
      <w:r w:rsidRPr="007E3EFF">
        <w:rPr>
          <w:b/>
          <w:sz w:val="24"/>
        </w:rPr>
        <w:t xml:space="preserve"> </w:t>
      </w:r>
    </w:p>
    <w:p w:rsidR="000B5E92" w:rsidRDefault="000B5E92" w:rsidP="00706C8E">
      <w:pPr>
        <w:tabs>
          <w:tab w:val="left" w:pos="851"/>
        </w:tabs>
        <w:rPr>
          <w:b/>
          <w:sz w:val="24"/>
        </w:rPr>
      </w:pPr>
    </w:p>
    <w:p w:rsidR="000B5E92" w:rsidRPr="000E430A" w:rsidRDefault="000B5E92" w:rsidP="007E3EFF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0E430A">
        <w:rPr>
          <w:b/>
          <w:sz w:val="24"/>
          <w:u w:val="single"/>
        </w:rPr>
        <w:t xml:space="preserve">Úlohy v plnení </w:t>
      </w:r>
    </w:p>
    <w:p w:rsidR="000B5E92" w:rsidRDefault="000B5E92" w:rsidP="007E3EFF">
      <w:pPr>
        <w:tabs>
          <w:tab w:val="left" w:pos="-1080"/>
        </w:tabs>
        <w:ind w:left="284" w:hanging="284"/>
        <w:rPr>
          <w:sz w:val="24"/>
        </w:rPr>
      </w:pPr>
      <w:r w:rsidRPr="007E3EFF">
        <w:rPr>
          <w:b/>
          <w:sz w:val="24"/>
        </w:rPr>
        <w:t>96/2</w:t>
      </w:r>
      <w:r>
        <w:rPr>
          <w:sz w:val="24"/>
        </w:rPr>
        <w:t xml:space="preserve">  zo dňa 15.12.2011  -   MZ  ukladá  prednostovi  Miestneho úradu MČ Košice – Sídlisko KVP v spolupráci s navrhovateľom  zabezpečiť spracovanie návrhu dokumentácie k realizácii zámeru vytvorenia multifunkčného parku na území uvedenom v bode 1.</w:t>
      </w:r>
    </w:p>
    <w:p w:rsidR="000B5E92" w:rsidRPr="000E430A" w:rsidRDefault="000B5E92" w:rsidP="007E3EFF">
      <w:pPr>
        <w:tabs>
          <w:tab w:val="left" w:pos="-1080"/>
        </w:tabs>
        <w:ind w:left="284" w:hanging="284"/>
        <w:rPr>
          <w:sz w:val="24"/>
        </w:rPr>
      </w:pPr>
      <w:r w:rsidRPr="000E430A">
        <w:rPr>
          <w:sz w:val="24"/>
        </w:rPr>
        <w:t xml:space="preserve">                                                                  </w:t>
      </w:r>
      <w:r>
        <w:rPr>
          <w:sz w:val="24"/>
        </w:rPr>
        <w:t xml:space="preserve">             </w:t>
      </w:r>
      <w:r w:rsidRPr="000E430A">
        <w:rPr>
          <w:sz w:val="24"/>
        </w:rPr>
        <w:t xml:space="preserve">  Zodp.: prednosta MÚ  </w:t>
      </w:r>
      <w:r>
        <w:rPr>
          <w:sz w:val="24"/>
        </w:rPr>
        <w:t xml:space="preserve">           </w:t>
      </w:r>
      <w:r w:rsidRPr="000E430A">
        <w:rPr>
          <w:sz w:val="24"/>
        </w:rPr>
        <w:t>Termín : apríl 2012</w:t>
      </w:r>
    </w:p>
    <w:p w:rsidR="000B5E92" w:rsidRDefault="000B5E92" w:rsidP="007E3EFF">
      <w:pPr>
        <w:tabs>
          <w:tab w:val="left" w:pos="-1080"/>
        </w:tabs>
        <w:ind w:left="284" w:hanging="284"/>
        <w:rPr>
          <w:b/>
          <w:sz w:val="24"/>
        </w:rPr>
      </w:pPr>
      <w:r>
        <w:rPr>
          <w:b/>
          <w:sz w:val="24"/>
        </w:rPr>
        <w:t xml:space="preserve">  </w:t>
      </w:r>
    </w:p>
    <w:p w:rsidR="000B5E92" w:rsidRPr="007E3EFF" w:rsidRDefault="000B5E92" w:rsidP="007E3EFF">
      <w:pPr>
        <w:pStyle w:val="NormlnIMP"/>
        <w:tabs>
          <w:tab w:val="left" w:pos="851"/>
        </w:tabs>
        <w:ind w:left="851" w:hanging="851"/>
        <w:jc w:val="both"/>
        <w:rPr>
          <w:b/>
          <w:sz w:val="24"/>
          <w:szCs w:val="24"/>
        </w:rPr>
      </w:pPr>
      <w:r w:rsidRPr="007E3EFF">
        <w:rPr>
          <w:b/>
          <w:sz w:val="24"/>
          <w:szCs w:val="24"/>
        </w:rPr>
        <w:t>131</w:t>
      </w:r>
      <w:r w:rsidRPr="007E3EFF">
        <w:rPr>
          <w:b/>
          <w:sz w:val="24"/>
          <w:szCs w:val="24"/>
        </w:rPr>
        <w:tab/>
        <w:t>I. zmena rozpočtu Mestskej časti Košice – Sídlisko KVP na rok 2012</w:t>
      </w:r>
    </w:p>
    <w:p w:rsidR="000B5E92" w:rsidRDefault="000B5E92" w:rsidP="00706C8E">
      <w:pPr>
        <w:ind w:left="284" w:hanging="284"/>
        <w:jc w:val="both"/>
        <w:rPr>
          <w:sz w:val="24"/>
        </w:rPr>
      </w:pPr>
      <w:r>
        <w:rPr>
          <w:b/>
          <w:sz w:val="24"/>
        </w:rPr>
        <w:t xml:space="preserve">131/2  ukladá </w:t>
      </w:r>
      <w:r>
        <w:rPr>
          <w:sz w:val="24"/>
        </w:rPr>
        <w:t>prednostovi Miestneho úradu Mestskej časti Košice – Sídlisko KVP, aby v spolupráci so starostkou mestskej časti požiadali kompetentných predstaviteľov Technickej univerzity Košice o zabezpečenie vypracovania alternatívnych návrhov (architektonických štúdií + predpokladaný rozpočet) študentmi tejto univerzity, na riešenie objektu „Rekonštrukcia fontány + architektonický návrh” v Mestskej časti Košice – Sídlisko KVP. Tieto návrhy následne predložiť na najbližšie rokovanie Miestneho zastupiteľstva Mestskej časti Košice – Sídlisko KVP.</w:t>
      </w:r>
    </w:p>
    <w:p w:rsidR="000B5E92" w:rsidRDefault="000B5E92" w:rsidP="00852B88">
      <w:pPr>
        <w:ind w:left="284" w:hanging="284"/>
        <w:jc w:val="both"/>
        <w:rPr>
          <w:b/>
          <w:sz w:val="24"/>
          <w:u w:val="single"/>
        </w:rPr>
      </w:pPr>
      <w:r>
        <w:rPr>
          <w:b/>
          <w:sz w:val="24"/>
        </w:rPr>
        <w:t xml:space="preserve">     </w:t>
      </w: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splnené </w:t>
      </w:r>
    </w:p>
    <w:p w:rsidR="000B5E92" w:rsidRPr="007E3EFF" w:rsidRDefault="000B5E92" w:rsidP="007E3EFF">
      <w:pPr>
        <w:ind w:left="284" w:hanging="284"/>
        <w:jc w:val="both"/>
        <w:rPr>
          <w:b/>
          <w:sz w:val="24"/>
        </w:rPr>
      </w:pPr>
    </w:p>
    <w:p w:rsidR="000B5E92" w:rsidRPr="00602842" w:rsidRDefault="000B5E92" w:rsidP="00602842">
      <w:pPr>
        <w:ind w:left="284" w:hanging="284"/>
        <w:jc w:val="both"/>
        <w:rPr>
          <w:b/>
          <w:sz w:val="24"/>
        </w:rPr>
      </w:pPr>
      <w:r w:rsidRPr="007E3EFF">
        <w:rPr>
          <w:b/>
          <w:sz w:val="24"/>
        </w:rPr>
        <w:t>144</w:t>
      </w:r>
      <w:r>
        <w:rPr>
          <w:b/>
          <w:sz w:val="24"/>
        </w:rPr>
        <w:t xml:space="preserve">      </w:t>
      </w:r>
      <w:r w:rsidRPr="00602842">
        <w:rPr>
          <w:b/>
          <w:sz w:val="24"/>
        </w:rPr>
        <w:t>Zmeny a doplnky ÚPN Z Košice Myslava – lokalita 9.1.17</w:t>
      </w:r>
    </w:p>
    <w:p w:rsidR="000B5E92" w:rsidRDefault="000B5E92" w:rsidP="00602842">
      <w:pPr>
        <w:rPr>
          <w:sz w:val="24"/>
        </w:rPr>
      </w:pPr>
      <w:r>
        <w:rPr>
          <w:sz w:val="24"/>
        </w:rPr>
        <w:t xml:space="preserve">       v prípade súhlasu Mestskej časti Košice – Myslava so zámermi a doplnkami ÚPN Z Košice </w:t>
      </w:r>
    </w:p>
    <w:p w:rsidR="000B5E92" w:rsidRPr="0016607C" w:rsidRDefault="000B5E92" w:rsidP="00602842">
      <w:pPr>
        <w:rPr>
          <w:sz w:val="24"/>
        </w:rPr>
      </w:pPr>
      <w:r>
        <w:rPr>
          <w:sz w:val="24"/>
        </w:rPr>
        <w:t xml:space="preserve">       Myslava – lokalita 9.1.17 </w:t>
      </w:r>
      <w:r>
        <w:rPr>
          <w:b/>
          <w:sz w:val="24"/>
        </w:rPr>
        <w:t>ž</w:t>
      </w:r>
      <w:r w:rsidRPr="00AD3469">
        <w:rPr>
          <w:b/>
          <w:sz w:val="24"/>
        </w:rPr>
        <w:t>iada</w:t>
      </w:r>
      <w:r>
        <w:rPr>
          <w:b/>
          <w:sz w:val="24"/>
        </w:rPr>
        <w:t xml:space="preserve">, </w:t>
      </w:r>
      <w:r w:rsidRPr="00B7477B">
        <w:rPr>
          <w:sz w:val="24"/>
        </w:rPr>
        <w:t>aby boli dodržané nasledujúce záväzné podmienky</w:t>
      </w:r>
      <w:r>
        <w:rPr>
          <w:sz w:val="24"/>
        </w:rPr>
        <w:t>:</w:t>
      </w:r>
      <w:r w:rsidRPr="00B7477B">
        <w:rPr>
          <w:sz w:val="24"/>
        </w:rPr>
        <w:t xml:space="preserve"> </w:t>
      </w:r>
      <w:r w:rsidRPr="00B7477B">
        <w:rPr>
          <w:b/>
          <w:sz w:val="24"/>
        </w:rPr>
        <w:t xml:space="preserve"> </w:t>
      </w:r>
    </w:p>
    <w:p w:rsidR="000B5E92" w:rsidRDefault="000B5E92" w:rsidP="00602842">
      <w:pPr>
        <w:ind w:left="284" w:hanging="284"/>
        <w:jc w:val="both"/>
        <w:rPr>
          <w:sz w:val="24"/>
        </w:rPr>
      </w:pPr>
      <w:r>
        <w:rPr>
          <w:sz w:val="24"/>
        </w:rPr>
        <w:t xml:space="preserve">a) investor bytových domov je povinný vybudovať prístupovú cestu z východnej strany, vrátane peších komunikácií, t.j. od Klimkovičovej ulice (po ktorej premáva MHD) na vlastné náklady v zmysle regulačného plánu Moskovská trieda. </w:t>
      </w:r>
    </w:p>
    <w:p w:rsidR="000B5E92" w:rsidRDefault="000B5E92" w:rsidP="00602842">
      <w:pPr>
        <w:ind w:left="142" w:hanging="142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Termín: do času kolaudácie obytného súboru</w:t>
      </w:r>
    </w:p>
    <w:p w:rsidR="000B5E92" w:rsidRDefault="000B5E92" w:rsidP="00602842">
      <w:pPr>
        <w:ind w:left="284" w:hanging="284"/>
        <w:jc w:val="both"/>
        <w:rPr>
          <w:sz w:val="24"/>
        </w:rPr>
      </w:pPr>
      <w:r>
        <w:rPr>
          <w:sz w:val="24"/>
        </w:rPr>
        <w:t xml:space="preserve">b) investor bytových domov je povinný vybudovať verejné parkovisko v zmysle regulačného plánu Moskovská trieda na vlastné náklady a  odovzdať ho do majetku Mestskej časti Košice – Sídlisko KVP s minimálnym počtom parkovacích miest  71 </w:t>
      </w:r>
    </w:p>
    <w:p w:rsidR="000B5E92" w:rsidRDefault="000B5E92" w:rsidP="00602842">
      <w:pPr>
        <w:ind w:left="142" w:hanging="142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Termín: do času kolaudácie obytného súboru</w:t>
      </w:r>
    </w:p>
    <w:p w:rsidR="000B5E92" w:rsidRDefault="000B5E92" w:rsidP="00602842">
      <w:pPr>
        <w:ind w:left="284" w:hanging="284"/>
        <w:jc w:val="both"/>
        <w:rPr>
          <w:sz w:val="24"/>
        </w:rPr>
      </w:pPr>
      <w:r>
        <w:rPr>
          <w:sz w:val="24"/>
        </w:rPr>
        <w:t>c) prístup k obytným domom nebude riešený cez jestvujúci novopostavený Obytný súbor  Klimkovičova</w:t>
      </w:r>
    </w:p>
    <w:p w:rsidR="000B5E92" w:rsidRDefault="000B5E92" w:rsidP="00602842">
      <w:pPr>
        <w:ind w:left="284" w:hanging="284"/>
        <w:jc w:val="both"/>
        <w:rPr>
          <w:sz w:val="24"/>
        </w:rPr>
      </w:pPr>
      <w:r>
        <w:rPr>
          <w:sz w:val="24"/>
        </w:rPr>
        <w:t>d) súhlasí len so stavbou bytov rovnakého štandardu, aký bol v tejto lokalite už realizovaný.</w:t>
      </w:r>
    </w:p>
    <w:p w:rsidR="000B5E92" w:rsidRDefault="000B5E92" w:rsidP="0016607C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 xml:space="preserve"> 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v plnení </w:t>
      </w:r>
    </w:p>
    <w:p w:rsidR="000B5E92" w:rsidRDefault="000B5E92" w:rsidP="0016607C">
      <w:pPr>
        <w:ind w:left="284" w:hanging="284"/>
        <w:jc w:val="both"/>
        <w:rPr>
          <w:b/>
          <w:sz w:val="24"/>
          <w:u w:val="single"/>
        </w:rPr>
      </w:pPr>
    </w:p>
    <w:p w:rsidR="000B5E92" w:rsidRPr="00EB0CD4" w:rsidRDefault="000B5E92" w:rsidP="00EB0CD4">
      <w:pPr>
        <w:tabs>
          <w:tab w:val="left" w:pos="851"/>
        </w:tabs>
        <w:rPr>
          <w:b/>
          <w:sz w:val="24"/>
        </w:rPr>
      </w:pPr>
      <w:r w:rsidRPr="007E3EFF">
        <w:rPr>
          <w:b/>
          <w:sz w:val="24"/>
        </w:rPr>
        <w:t>1</w:t>
      </w:r>
      <w:r>
        <w:rPr>
          <w:b/>
          <w:sz w:val="24"/>
        </w:rPr>
        <w:t>48</w:t>
      </w:r>
      <w:r w:rsidRPr="007E3EFF">
        <w:rPr>
          <w:b/>
          <w:sz w:val="24"/>
        </w:rPr>
        <w:tab/>
      </w:r>
      <w:r>
        <w:rPr>
          <w:b/>
          <w:sz w:val="24"/>
        </w:rPr>
        <w:t xml:space="preserve">Kontrola plnenia uznesení </w:t>
      </w:r>
      <w:r w:rsidRPr="007E3EFF">
        <w:rPr>
          <w:b/>
          <w:sz w:val="24"/>
        </w:rPr>
        <w:t xml:space="preserve"> </w:t>
      </w:r>
    </w:p>
    <w:p w:rsidR="000B5E92" w:rsidRDefault="000B5E92" w:rsidP="00EB0CD4">
      <w:pPr>
        <w:tabs>
          <w:tab w:val="left" w:pos="-1080"/>
        </w:tabs>
        <w:ind w:left="284" w:hanging="284"/>
        <w:jc w:val="both"/>
        <w:rPr>
          <w:sz w:val="24"/>
        </w:rPr>
      </w:pPr>
      <w:r>
        <w:rPr>
          <w:b/>
          <w:sz w:val="24"/>
        </w:rPr>
        <w:t>b)</w:t>
      </w:r>
      <w:r>
        <w:rPr>
          <w:sz w:val="24"/>
        </w:rPr>
        <w:t xml:space="preserve"> </w:t>
      </w:r>
      <w:r>
        <w:rPr>
          <w:b/>
          <w:sz w:val="24"/>
        </w:rPr>
        <w:t xml:space="preserve">schvaľuje </w:t>
      </w:r>
      <w:r>
        <w:rPr>
          <w:sz w:val="24"/>
        </w:rPr>
        <w:t>určenie zodpovednosti a termíny pre splnenie realizácie úloh schválených uznesením MZ MČ Košice – Sídlisko KVP č. 132 na X. rokovaní 24. mája 2012 v bode 6.b/ - II. zmena rozpočtu na rok 2012 podľa predloženého návrhu s vypustením tabuľkovej časti</w:t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0B5E92" w:rsidRDefault="000B5E92" w:rsidP="00EB0CD4">
      <w:pPr>
        <w:tabs>
          <w:tab w:val="left" w:pos="-1080"/>
        </w:tabs>
        <w:ind w:left="284" w:hanging="284"/>
        <w:jc w:val="both"/>
      </w:pPr>
      <w:r>
        <w:rPr>
          <w:sz w:val="24"/>
        </w:rPr>
        <w:tab/>
      </w:r>
      <w:r>
        <w:t xml:space="preserve">Zodpovedný: prednosta MÚ MČ Košice – Sídlisko KVP      </w:t>
      </w:r>
      <w:r>
        <w:tab/>
        <w:t xml:space="preserve">     Termín: do 11.októbra 2012</w:t>
      </w:r>
    </w:p>
    <w:p w:rsidR="000B5E92" w:rsidRDefault="000B5E92" w:rsidP="00EB0CD4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v plnení </w:t>
      </w:r>
    </w:p>
    <w:p w:rsidR="000B5E92" w:rsidRDefault="000B5E92" w:rsidP="00EB0CD4">
      <w:pPr>
        <w:tabs>
          <w:tab w:val="left" w:pos="-1080"/>
        </w:tabs>
        <w:ind w:left="284" w:hanging="284"/>
        <w:jc w:val="both"/>
        <w:rPr>
          <w:sz w:val="24"/>
        </w:rPr>
      </w:pPr>
      <w:r>
        <w:rPr>
          <w:b/>
          <w:sz w:val="24"/>
        </w:rPr>
        <w:t>c)</w:t>
      </w:r>
      <w:r>
        <w:rPr>
          <w:sz w:val="24"/>
        </w:rPr>
        <w:t xml:space="preserve"> </w:t>
      </w:r>
      <w:r>
        <w:rPr>
          <w:b/>
          <w:sz w:val="24"/>
        </w:rPr>
        <w:t xml:space="preserve">ukladá </w:t>
      </w:r>
      <w:r>
        <w:rPr>
          <w:sz w:val="24"/>
        </w:rPr>
        <w:t>prednostovi MÚ MČ Košice - Sídlisko KVP, aby v spolupráci so starostkou mestskej časti zintenzívnil komunikáciu mestskej časti s kompetentnými predstaviteľmi Technickej univerzity Košice za účelom zabezpečenia vypracovania alternatívnych návrhov (štúdia, skica, a pod.) na vhodné finančne nenáročné riešenia priestoru nefunkčnej fontány v Mestskej časti Košice – Sídlisko KVP, študentmi tejto univerzity. Tieto návrhy, námety i nápady následne predložiť na najbližšie rokovanie MZ MČ Košice – Sídlisko KVP</w:t>
      </w:r>
      <w:r>
        <w:rPr>
          <w:sz w:val="24"/>
        </w:rPr>
        <w:tab/>
        <w:t xml:space="preserve">      </w:t>
      </w:r>
    </w:p>
    <w:p w:rsidR="000B5E92" w:rsidRDefault="000B5E92" w:rsidP="00EB0CD4">
      <w:pPr>
        <w:tabs>
          <w:tab w:val="left" w:pos="-1080"/>
        </w:tabs>
        <w:ind w:left="284" w:hanging="284"/>
        <w:jc w:val="both"/>
      </w:pPr>
      <w:r>
        <w:rPr>
          <w:sz w:val="24"/>
        </w:rPr>
        <w:tab/>
      </w:r>
      <w:r>
        <w:t>Zodpovedný: prednosta MÚ  MČ Košice – Sídlisko KVP</w:t>
      </w:r>
      <w:r>
        <w:tab/>
      </w:r>
      <w:r>
        <w:tab/>
        <w:t xml:space="preserve">   Termín: najbližšie rokovanie MZ </w:t>
      </w:r>
    </w:p>
    <w:p w:rsidR="000B5E92" w:rsidRDefault="000B5E92" w:rsidP="00EB0CD4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v plnení </w:t>
      </w:r>
    </w:p>
    <w:p w:rsidR="000B5E92" w:rsidRDefault="000B5E92" w:rsidP="00EB0CD4">
      <w:pPr>
        <w:tabs>
          <w:tab w:val="left" w:pos="-1080"/>
        </w:tabs>
        <w:jc w:val="both"/>
        <w:rPr>
          <w:sz w:val="20"/>
          <w:szCs w:val="20"/>
        </w:rPr>
      </w:pPr>
    </w:p>
    <w:p w:rsidR="000B5E92" w:rsidRDefault="000B5E92" w:rsidP="00EB0CD4">
      <w:pPr>
        <w:tabs>
          <w:tab w:val="left" w:pos="-1080"/>
        </w:tabs>
        <w:ind w:left="284" w:hanging="284"/>
        <w:jc w:val="both"/>
        <w:rPr>
          <w:sz w:val="24"/>
        </w:rPr>
      </w:pPr>
      <w:r>
        <w:rPr>
          <w:b/>
          <w:sz w:val="24"/>
        </w:rPr>
        <w:t xml:space="preserve">d) zriaďuje </w:t>
      </w:r>
      <w:r>
        <w:rPr>
          <w:sz w:val="24"/>
        </w:rPr>
        <w:t>iniciatívnu, pracovnú komisiu za účelom koordinácie jednotlivých postupov zabezpečenia dôkladnej prípravy i sumarizácie príslušných podkladov, informácii a návrhov na riešenie priestoru nefunkčnej fontány v MČ Košice – Sídlisko KVP v zložení podľa predloženého návrhu.</w:t>
      </w:r>
    </w:p>
    <w:p w:rsidR="000B5E92" w:rsidRDefault="000B5E92" w:rsidP="00EB0CD4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splnené </w:t>
      </w:r>
    </w:p>
    <w:p w:rsidR="000B5E92" w:rsidRDefault="000B5E92" w:rsidP="0016607C">
      <w:pPr>
        <w:ind w:left="284" w:hanging="284"/>
        <w:jc w:val="both"/>
        <w:rPr>
          <w:b/>
          <w:sz w:val="24"/>
          <w:u w:val="single"/>
        </w:rPr>
      </w:pPr>
    </w:p>
    <w:p w:rsidR="000B5E92" w:rsidRDefault="000B5E92" w:rsidP="0016607C">
      <w:pPr>
        <w:ind w:left="284" w:hanging="284"/>
        <w:jc w:val="both"/>
        <w:rPr>
          <w:b/>
          <w:sz w:val="24"/>
          <w:u w:val="single"/>
        </w:rPr>
      </w:pPr>
    </w:p>
    <w:p w:rsidR="000B5E92" w:rsidRDefault="000B5E92" w:rsidP="00852B88">
      <w:pPr>
        <w:pStyle w:val="NormlnIMP"/>
        <w:rPr>
          <w:b/>
          <w:sz w:val="24"/>
        </w:rPr>
      </w:pPr>
      <w:r w:rsidRPr="00852B88">
        <w:rPr>
          <w:b/>
          <w:sz w:val="24"/>
        </w:rPr>
        <w:t>166    Organizačný poriadok Miestneho úradu  Mestskej časti Košice – Sídlisko KVP</w:t>
      </w:r>
    </w:p>
    <w:p w:rsidR="000B5E92" w:rsidRPr="003A0829" w:rsidRDefault="000B5E92" w:rsidP="00852B88">
      <w:pPr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v súlade s platnými ústavnými zákonmi, zákonmi a ostatnými všeobecne záväznými právnymi predpismi</w:t>
      </w:r>
      <w:r>
        <w:rPr>
          <w:b/>
          <w:sz w:val="24"/>
        </w:rPr>
        <w:t xml:space="preserve"> </w:t>
      </w:r>
    </w:p>
    <w:p w:rsidR="000B5E92" w:rsidRDefault="000B5E92" w:rsidP="00852B88">
      <w:pPr>
        <w:jc w:val="both"/>
        <w:rPr>
          <w:b/>
          <w:sz w:val="24"/>
        </w:rPr>
      </w:pPr>
      <w:r>
        <w:rPr>
          <w:b/>
          <w:sz w:val="24"/>
        </w:rPr>
        <w:t xml:space="preserve">ukladá </w:t>
      </w:r>
    </w:p>
    <w:p w:rsidR="000B5E92" w:rsidRDefault="000B5E92" w:rsidP="00852B88">
      <w:pPr>
        <w:jc w:val="both"/>
        <w:rPr>
          <w:sz w:val="24"/>
        </w:rPr>
      </w:pPr>
      <w:r>
        <w:rPr>
          <w:sz w:val="24"/>
        </w:rPr>
        <w:t xml:space="preserve">prednostovi MÚ MČ Košice – Sídlisko KVP, aby v spolupráci so starostkou mestskej časti a kompetentnými odborníkmi pripravil nový, efektívny Organizačný poriadok aj Organizačnú štruktúru Miestneho úradu Mestskej časti Košice – Sídlisko KVP a tieto predložil na najbližšie rokovanie Miestneho zastupiteľstva Mestskej časti Košice – Sídlisko KVP. </w:t>
      </w:r>
    </w:p>
    <w:p w:rsidR="000B5E92" w:rsidRDefault="000B5E92" w:rsidP="00852B88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v plnení</w:t>
      </w:r>
    </w:p>
    <w:p w:rsidR="000B5E92" w:rsidRPr="00852B88" w:rsidRDefault="000B5E92" w:rsidP="00852B88">
      <w:pPr>
        <w:pStyle w:val="NormlnIMP"/>
        <w:rPr>
          <w:sz w:val="24"/>
        </w:rPr>
      </w:pPr>
    </w:p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/>
    <w:p w:rsidR="000B5E92" w:rsidRDefault="000B5E92" w:rsidP="00FD0A06">
      <w:r>
        <w:t xml:space="preserve">Spracoval :   Ing. Peter Kakuloš, zástupca starostky </w:t>
      </w:r>
    </w:p>
    <w:p w:rsidR="000B5E92" w:rsidRPr="001F1670" w:rsidRDefault="000B5E92" w:rsidP="00FD0A06">
      <w:r>
        <w:t xml:space="preserve">Košice, 29.10.2012                      </w:t>
      </w:r>
    </w:p>
    <w:sectPr w:rsidR="000B5E92" w:rsidRPr="001F1670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D15C8D"/>
    <w:multiLevelType w:val="multilevel"/>
    <w:tmpl w:val="D21CFF8E"/>
    <w:numStyleLink w:val="Vcerovov"/>
  </w:abstractNum>
  <w:abstractNum w:abstractNumId="6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7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15CBF"/>
    <w:rsid w:val="000A4EA5"/>
    <w:rsid w:val="000B5E92"/>
    <w:rsid w:val="000C5B88"/>
    <w:rsid w:val="000E430A"/>
    <w:rsid w:val="000F438E"/>
    <w:rsid w:val="0015047E"/>
    <w:rsid w:val="0016607C"/>
    <w:rsid w:val="00171EB4"/>
    <w:rsid w:val="001F1670"/>
    <w:rsid w:val="002F517B"/>
    <w:rsid w:val="003212C9"/>
    <w:rsid w:val="003A0829"/>
    <w:rsid w:val="003B7D21"/>
    <w:rsid w:val="003C236B"/>
    <w:rsid w:val="003E5964"/>
    <w:rsid w:val="004039C1"/>
    <w:rsid w:val="00490CE8"/>
    <w:rsid w:val="004A4843"/>
    <w:rsid w:val="004F3CCF"/>
    <w:rsid w:val="005D2780"/>
    <w:rsid w:val="00602842"/>
    <w:rsid w:val="0061121B"/>
    <w:rsid w:val="006F4961"/>
    <w:rsid w:val="00706C8E"/>
    <w:rsid w:val="0071246B"/>
    <w:rsid w:val="00713E8D"/>
    <w:rsid w:val="007147CA"/>
    <w:rsid w:val="007A5BFE"/>
    <w:rsid w:val="007B070D"/>
    <w:rsid w:val="007E3EFF"/>
    <w:rsid w:val="007F3AFD"/>
    <w:rsid w:val="00827F6F"/>
    <w:rsid w:val="00851A07"/>
    <w:rsid w:val="00852B88"/>
    <w:rsid w:val="00861596"/>
    <w:rsid w:val="008D34AC"/>
    <w:rsid w:val="008D69B4"/>
    <w:rsid w:val="00963AF3"/>
    <w:rsid w:val="00A30F93"/>
    <w:rsid w:val="00A4512C"/>
    <w:rsid w:val="00A47D2D"/>
    <w:rsid w:val="00A520E4"/>
    <w:rsid w:val="00AD3469"/>
    <w:rsid w:val="00B7477B"/>
    <w:rsid w:val="00C11D1C"/>
    <w:rsid w:val="00C3151B"/>
    <w:rsid w:val="00C36CC5"/>
    <w:rsid w:val="00C643E1"/>
    <w:rsid w:val="00D0558E"/>
    <w:rsid w:val="00D31F7C"/>
    <w:rsid w:val="00DA71C9"/>
    <w:rsid w:val="00DB06D2"/>
    <w:rsid w:val="00DF4C54"/>
    <w:rsid w:val="00E40A5C"/>
    <w:rsid w:val="00E54E61"/>
    <w:rsid w:val="00EB0CD4"/>
    <w:rsid w:val="00F047EA"/>
    <w:rsid w:val="00F437B1"/>
    <w:rsid w:val="00FD0A06"/>
    <w:rsid w:val="00FD2E03"/>
    <w:rsid w:val="00FE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4900DB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642</Words>
  <Characters>3791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JKIRILAKOVA</cp:lastModifiedBy>
  <cp:revision>3</cp:revision>
  <cp:lastPrinted>2012-10-30T12:42:00Z</cp:lastPrinted>
  <dcterms:created xsi:type="dcterms:W3CDTF">2012-10-30T09:03:00Z</dcterms:created>
  <dcterms:modified xsi:type="dcterms:W3CDTF">2012-10-30T12:43:00Z</dcterms:modified>
</cp:coreProperties>
</file>